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Журнал учёта товарно-материальных ценностей, сданных на хранение (форма № МХ-2)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Титульная часть журнала</w:t>
      </w:r>
    </w:p>
    <w:p>
      <w:pPr>
        <w:ind w:firstLine="425"/>
      </w:pPr>
      <w:r>
        <w:t xml:space="preserve">ЖУРНАЛ УЧЁТА ТОВАРНО-МАТЕРИАЛЬНЫХ ЦЕННОСТЕЙ, СДАННЫХ НА ХРАНЕНИЕ № ______.</w:t>
      </w:r>
    </w:p>
    <w:p>
      <w:pPr>
        <w:ind w:firstLine="425"/>
      </w:pPr>
      <w:r>
        <w:t xml:space="preserve">Унифицированная форма № МХ-2, форма по ОКУД 0335002, утверждена постановлением Госкомстата России от 09.08.1999 № 66. Тем же постановлением введены форма № МХ-1 — акт о приёме-передаче ТМЦ на хранение и форма № МХ-3 — акт о возврате ТМЦ, сданных на хранение.</w:t>
      </w:r>
    </w:p>
    <w:p>
      <w:pPr>
        <w:ind w:firstLine="425"/>
      </w:pPr>
      <w:r>
        <w:t xml:space="preserve">Хранитель: ______, код по ОКПО ______.</w:t>
      </w:r>
    </w:p>
    <w:p>
      <w:pPr>
        <w:ind w:firstLine="425"/>
      </w:pPr>
      <w:r>
        <w:t xml:space="preserve">Место хранения: ______, ______.</w:t>
      </w:r>
    </w:p>
    <w:p>
      <w:pPr>
        <w:ind w:firstLine="425"/>
      </w:pPr>
      <w:r>
        <w:t xml:space="preserve">Журнал начат ______, окончен ______. Листов в журнале: ______.</w:t>
      </w:r>
    </w:p>
    <w:p>
      <w:pPr>
        <w:ind w:firstLine="425"/>
      </w:pPr>
      <w:r>
        <w:t xml:space="preserve">Журнал является регистром бухгалтерского учёта: данные из первичных документов систематизируются и накапливаются в регистрах (ст. 10 402-ФЗ). С 2013 года применение унифицированной формы не обязательно, поэтому хранитель вправе вести журнал по этому образцу, дополнить его своими графами или утвердить собственный регистр в учётной политике.</w:t>
      </w:r>
    </w:p>
    <w:p>
      <w:pPr>
        <w:pStyle w:val="ClauseHeading"/>
      </w:pPr>
      <w:r>
        <w:rPr>
          <w:b/>
        </w:rPr>
        <w:t xml:space="preserve">Таблица журнала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Записи вносят в хронологическом порядке: строку открывают в день приёма ценностей, а графы возврата заполняют в день фактической выдачи.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22"/>
        <w:gridCol w:w="1765"/>
        <w:gridCol w:w="815"/>
        <w:gridCol w:w="950"/>
        <w:gridCol w:w="815"/>
        <w:gridCol w:w="679"/>
        <w:gridCol w:w="1222"/>
        <w:gridCol w:w="1086"/>
        <w:gridCol w:w="1086"/>
      </w:tblGrid>
      <w:tr>
        <w:tc>
          <w:tcPr>
            <w:tcW w:w="6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Поклажедатель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приёма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принято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3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</w:t>
            </w:r>
          </w:p>
        </w:tc>
        <w:tc>
          <w:tcPr>
            <w:tcW w:w="6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возврата</w:t>
            </w:r>
          </w:p>
        </w:tc>
        <w:tc>
          <w:tcPr>
            <w:tcW w:w="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Каждая партия — отдельная строка. Учёт «одной строкой на поклажедателя» ломается при первом же частичном возврате: становится непонятно, что именно забрали и что осталось.</w:t>
      </w:r>
    </w:p>
    <w:p>
      <w:pPr>
        <w:ind w:firstLine="425"/>
      </w:pPr>
      <w:r>
        <w:t xml:space="preserve">Незакрытая строка возврата означает, что ценности формально числятся на складе. Если товар вывезен, а запись не сделана, хранитель продолжает отвечать за вещь, которой у него нет.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Ведомость остатков ценностей на хранении</w:t>
      </w:r>
    </w:p>
    <w:p>
      <w:pPr>
        <w:ind w:firstLine="425"/>
      </w:pPr>
      <w:r>
        <w:t xml:space="preserve">Ведомость к журналу № ______ хранителя ______, место хранения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843"/>
        <w:gridCol w:w="851"/>
        <w:gridCol w:w="1984"/>
        <w:gridCol w:w="851"/>
        <w:gridCol w:w="1276"/>
        <w:gridCol w:w="1134"/>
        <w:gridCol w:w="1276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Поклажедатель</w:t>
            </w:r>
          </w:p>
        </w:tc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приёма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приёма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хранения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выводят на отчётную дату по незакрытым строкам журнала. Она отвечает сразу на два вопроса: что фактически лежит на складе и сколько за это причитается.</w:t>
      </w:r>
    </w:p>
    <w:p>
      <w:pPr>
        <w:ind w:firstLine="425"/>
      </w:pPr>
      <w:r>
        <w:t xml:space="preserve">Сверку с фактическим наличием проводят по местам хранения, а не по документам: расхождение между журналом и складом всегда дешевле обнаружить самим.</w:t>
      </w:r>
    </w:p>
    <w:p>
      <w:pPr>
        <w:ind w:firstLine="425"/>
      </w:pPr>
      <w:r>
        <w:t xml:space="preserve">Копию ведомости по своим позициям удобно направлять поклажедателю вместе со счётом — это снимает большую часть споров о сроке хранения.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«Журнал учёта товарно-материальных ценностей, сданных на хранение (форма № МХ-2)» с сайта primadoc.ru. Документ, заполненный под вашу ситуацию, собирается в конструкторе: https://primadoc.ru/doc/zhurnal-ucheta-tovarno-materialnyh-cennostey-sdannyh-na-hranenie-forma-mh-2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18"/>
        <w:szCs w:val="18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18"/>
    </w:rPr>
  </w:style>
  <w:style w:type="paragraph" w:styleId="ClauseHeading">
    <w:name w:val="Clause Heading"/>
    <w:pPr>
      <w:jc w:val="left"/>
      <w:spacing w:before="120" w:after="40"/>
    </w:pPr>
    <w:rPr>
      <w:b/>
      <w:sz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учёта товарно-материальных ценностей, сданных на хранение (форма № МХ-2) — пустой бланк</dc:title>
  <dc:creator>Примадок</dc:creator>
  <dcterms:created xsi:type="dcterms:W3CDTF">2026-09-12T07:10:08Z</dcterms:created>
</cp:coreProperties>
</file>