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Ведомость выдачи материальных ценностей на нужды учреждения (форма 0504210)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Учреждение, период и основание выдачи</w:t>
      </w:r>
    </w:p>
    <w:p>
      <w:pPr>
        <w:ind w:firstLine="425"/>
      </w:pPr>
      <w:r>
        <w:t xml:space="preserve">ВЕДОМОСТЬ ВЫДАЧИ МАТЕРИАЛЬНЫХ ЦЕННОСТЕЙ НА НУЖДЫ УЧРЕЖДЕНИЯ № ______ от ______.</w:t>
      </w:r>
    </w:p>
    <w:p>
      <w:pPr>
        <w:ind w:firstLine="425"/>
      </w:pPr>
      <w:r>
        <w:t xml:space="preserve">Учреждение: ______, код по ОКПО ______. Адрес: ______. Подразделение: ______.</w:t>
      </w:r>
    </w:p>
    <w:p>
      <w:pPr>
        <w:ind w:firstLine="425"/>
      </w:pPr>
      <w:r>
        <w:t xml:space="preserve">Период выдачи: с ______ по ______. Счёт учёта: ______.</w:t>
      </w:r>
    </w:p>
    <w:p>
      <w:pPr>
        <w:ind w:firstLine="425"/>
      </w:pPr>
      <w:r>
        <w:t xml:space="preserve">Цель выдачи: ______. Основание: ______.</w:t>
      </w:r>
    </w:p>
    <w:p>
      <w:pPr>
        <w:ind w:firstLine="425"/>
      </w:pPr>
      <w:r>
        <w:t xml:space="preserve">Форма по ОКУД 0504210 утверждена приказом Минфина России от 30.03.2015 № 52н «Об утверждении форм первичных учётных документов и регистров бухгалтерского учёта, применяемых органами государственной власти, органами местного самоуправления, органами управления государственными внебюджетными фондами, государственными и муниципальными учреждениями». Для ведения тех же операций в электронном виде приказом Минфина России от 15.04.2021 № 61н утверждены унифицированные формы электронных документов бухгалтерского учёта.Коммерческая организация формами приказа Минфина России от 30.03.2015 № 52н не связана: они обязательны для организаций государственного сектора. Но сама операция от этого не меняется, поэтому бланк удобно взять за основу и утвердить в учётной политике как собственную форму. Обязателен лишь набор реквизитов первичного учётного документа (ст. 9 402-ФЗ).</w:t>
      </w:r>
    </w:p>
    <w:p>
      <w:pPr>
        <w:ind w:firstLine="425"/>
      </w:pPr>
      <w:r>
        <w:t xml:space="preserve">Ведомость применяют, когда ценности выдают сразу нескольким получателям: оформлять на каждого отдельное требование в такой ситуации дольше и дороже, чем собрать подписи в один документ.</w:t>
      </w:r>
    </w:p>
    <w:p>
      <w:pPr>
        <w:pStyle w:val="ClauseHeading"/>
      </w:pPr>
      <w:r>
        <w:rPr>
          <w:b/>
        </w:rPr>
        <w:t xml:space="preserve">Выданные ценности и подписи получателей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выдано: ______ на сумму ______. Число получателей: ______.</w:t>
      </w:r>
    </w:p>
    <w:p>
      <w:pPr>
        <w:ind w:firstLine="425"/>
      </w:pPr>
      <w:r>
        <w:t xml:space="preserve">Подписи получателей проставляются напротив каждой строки собственноручно, в момент получения.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728"/>
        <w:gridCol w:w="1455"/>
        <w:gridCol w:w="1819"/>
        <w:gridCol w:w="1637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получателя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получено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Наименование пишите так, чтобы позицию можно было опознать при инвентаризации. «Канцтовары — 1 компл.» не позволяет ни подтвердить расход, ни установить, чего именно не хватает; «бумага офисная А4, 80 г/кв. м, 500 л., 4 пачки» — позволяет.</w:t>
      </w:r>
    </w:p>
    <w:p>
      <w:pPr>
        <w:ind w:firstLine="425"/>
      </w:pPr>
      <w:r>
        <w:t xml:space="preserve">Подпись «по списку», проставленная одним человеком за всех, доказательственной силы не имеет. Если получатель отсутствует, строку переносят в следующую ведомость, а не закрывают чужой подписью.</w:t>
      </w:r>
    </w:p>
    <w:p>
      <w:pPr>
        <w:pStyle w:val="ClauseHeading"/>
      </w:pPr>
      <w:r>
        <w:rPr>
          <w:b/>
        </w:rPr>
        <w:t xml:space="preserve">Подписи и передача в бухгалтерию</w:t>
      </w:r>
    </w:p>
    <w:p>
      <w:pPr>
        <w:ind w:firstLine="425"/>
      </w:pPr>
      <w:r>
        <w:t xml:space="preserve">Ценности выдал: ______ ______ ________________</w:t>
      </w:r>
    </w:p>
    <w:p>
      <w:pPr>
        <w:ind w:firstLine="425"/>
      </w:pPr>
      <w:r>
        <w:t xml:space="preserve">Ведомость принял к учёту: ______ ________________</w:t>
      </w:r>
    </w:p>
    <w:p>
      <w:pPr>
        <w:ind w:firstLine="425"/>
      </w:pPr>
      <w:r>
        <w:t xml:space="preserve">Ведомость составлена в одном экземпляре и после утверждения руководителем передаётся в бухгалтерию.</w:t>
      </w:r>
    </w:p>
    <w:p>
      <w:pPr>
        <w:ind w:firstLine="425"/>
      </w:pPr>
      <w:r>
        <w:t xml:space="preserve">Если выдача продолжается несколько дней, ведомость закрывают по окончании периода, указанного в шапке, и подводят итог — иначе документ невозможно отнести к конкретному отчётному месяцу.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Заявка на выдачу материальных ценностей</w:t>
      </w:r>
    </w:p>
    <w:p>
      <w:pPr>
        <w:ind w:firstLine="425"/>
      </w:pPr>
      <w:r>
        <w:t xml:space="preserve">Заявка к ведомости № ______ от ______. Подразделение: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622"/>
        <w:gridCol w:w="1244"/>
        <w:gridCol w:w="777"/>
        <w:gridCol w:w="1710"/>
        <w:gridCol w:w="2643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Заявлено</w:t>
            </w:r>
          </w:p>
        </w:tc>
        <w:tc>
          <w:tcPr>
            <w:tcW w:w="4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Согласовано</w:t>
            </w:r>
          </w:p>
        </w:tc>
        <w:tc>
          <w:tcPr>
            <w:tcW w:w="13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руководителя подразделения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Заявка отвечает на вопрос, почему выдали именно столько. Если в организации утверждены нормы выдачи, графа «норма» заполняется по ним, а превышение согласовывает руководитель отдельной резолюцией.</w:t>
      </w:r>
    </w:p>
    <w:p>
      <w:pPr>
        <w:ind w:firstLine="425"/>
      </w:pPr>
      <w:r>
        <w:t xml:space="preserve">Заявку подписывает руководитель подразделения-получателя. Без неё ведомость показывает только факт выдачи, но не её обоснованность — и первый же вопрос проверяющего останется без ответа.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Карточка забалансового учёта ценностей в эксплуатации</w:t>
      </w:r>
    </w:p>
    <w:p>
      <w:pPr>
        <w:ind w:firstLine="425"/>
      </w:pPr>
      <w:r>
        <w:t xml:space="preserve">Карточка к ведомости № ______ от ______ по учреждению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1607"/>
        <w:gridCol w:w="1314"/>
        <w:gridCol w:w="1314"/>
        <w:gridCol w:w="1899"/>
        <w:gridCol w:w="1022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кем закреплён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 или списания</w:t>
            </w:r>
          </w:p>
        </w:tc>
        <w:tc>
          <w:tcPr>
            <w:tcW w:w="5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Карточку ведут по объектам, которые выданы в эксплуатацию, но продолжают числиться за балансом: недорогой инвентарь, инструмент, оргтехника, мебель.</w:t>
      </w:r>
    </w:p>
    <w:p>
      <w:pPr>
        <w:ind w:firstLine="425"/>
      </w:pPr>
      <w:r>
        <w:t xml:space="preserve">Забалансовый учёт снимает типичный спор при увольнении: без записи о том, за кем закреплён ноутбук, вернуть его через удержание из расчёта не получится.</w:t>
      </w:r>
    </w:p>
    <w:p>
      <w:pPr>
        <w:ind w:firstLine="425"/>
      </w:pPr>
      <w:r>
        <w:t xml:space="preserve">Объект списывают с забаланса по акту — при поломке, утрате или передаче другому лицу, а не «по истечении срока», который сам по себе основанием не является.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«Ведомость выдачи материальных ценностей на нужды учреждения (форма 0504210)» с сайта primadoc.ru. Документ, заполненный под вашу ситуацию, собирается в конструкторе: https://primadoc.ru/doc/vedomost-vydachi-materialnyh-cennostey-na-nuzhdy-uchrezhdeniya-forma-0504210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Ведомость выдачи материальных ценностей на нужды учреждения (форма 0504210) — пустой бланк</dc:title>
  <dc:creator>Примадок</dc:creator>
  <dcterms:created xsi:type="dcterms:W3CDTF">2026-09-12T08:04:52Z</dcterms:created>
</cp:coreProperties>
</file>