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Инспекцию Федеральной налоговой службы, код налогового органа ______</w:t>
      </w:r>
    </w:p>
    <w:p>
      <w:pPr>
        <w:ind w:left="4820"/>
        <w:jc w:val="left"/>
      </w:pPr>
      <w:r>
        <w:t xml:space="preserve">От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ИНН ______</w:t>
      </w:r>
    </w:p>
    <w:p>
      <w:pPr>
        <w:ind w:left="4820"/>
        <w:jc w:val="left"/>
      </w:pPr>
      <w:r>
        <w:t xml:space="preserve">КПП ______</w:t>
      </w:r>
    </w:p>
    <w:p>
      <w:pPr>
        <w:ind w:left="4820"/>
        <w:jc w:val="left"/>
      </w:pPr>
      <w:r>
        <w:t xml:space="preserve">Телефон для связи: ______</w:t>
      </w:r>
    </w:p>
    <w:p>
      <w:pPr>
        <w:ind w:left="4820"/>
        <w:jc w:val="left"/>
      </w:pPr>
      <w:r>
        <w:t xml:space="preserve">Дата: ______</w:t>
      </w:r>
    </w:p>
    <w:p>
      <w:pPr>
        <w:pStyle w:val="DocTitle"/>
      </w:pPr>
      <w:r>
        <w:t xml:space="preserve">Уведомление о переходе на УСН (форма 26.2-1)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Уведомляю о переходе на упрощённую систему налогообложения с ______ (ст. 346.13 НК).</w:t>
      </w:r>
    </w:p>
    <w:p>
      <w:pPr>
        <w:ind w:firstLine="425"/>
      </w:pPr>
      <w:r>
        <w:t xml:space="preserve">Заявитель: ______. Ситуация перехода: ______.</w:t>
      </w:r>
    </w:p>
    <w:p>
      <w:pPr>
        <w:ind w:firstLine="425"/>
      </w:pPr>
      <w:r>
        <w:t xml:space="preserve">В качестве объекта налогообложения выбраны ______.</w:t>
      </w:r>
    </w:p>
    <w:p>
      <w:pPr>
        <w:ind w:firstLine="425"/>
      </w:pPr>
      <w:r>
        <w:t xml:space="preserve">Уведомление подаётся в порядке, установленном главой 26.2 Налогового кодекса РФ. Разрешения или подтверждения от инспекции для применения упрощённой системы не требуется: право на неё возникает в силу самого уведомления при соблюдении установленных ограничений (ст. 346.11 НК).</w:t>
      </w:r>
    </w:p>
    <w:p>
      <w:pPr>
        <w:pStyle w:val="ClauseHeading"/>
      </w:pPr>
      <w:r>
        <w:rPr>
          <w:b/>
        </w:rPr>
        <w:t xml:space="preserve">Выбранный объект налогообложения</w:t>
      </w:r>
    </w:p>
    <w:p>
      <w:pPr>
        <w:ind w:firstLine="425"/>
      </w:pPr>
      <w:r>
        <w:t xml:space="preserve">Ставка налога зависит от выбранного объекта: при объекте «доходы» она составляет 6 процентов, при объекте «доходы, уменьшенные на величину расходов» — 15 процентов (ст. 346.20 НК). Субъект РФ вправе установить пониженную ставку, поэтому перед подачей уведомления стоит проверить закон своего региона: для отдельных видов деятельности ставки заметно ниже базовых.</w:t>
      </w:r>
    </w:p>
    <w:p>
      <w:pPr>
        <w:ind w:firstLine="425"/>
      </w:pPr>
      <w:r>
        <w:t xml:space="preserve">Объект налогообложения выбирается на весь календарный год, менять его в течение года нельзя (ст. 346.14 НК). Перейти с одного объекта на другой можно только с 1 января следующего года, подав в инспекцию отдельное уведомление по форме 26.2-6 не позднее 31 декабря текущего года.</w:t>
      </w:r>
    </w:p>
    <w:p>
      <w:pPr>
        <w:ind w:firstLine="425"/>
      </w:pPr>
      <w:r>
        <w:t xml:space="preserve">Ориентир для выбора: объект «доходы минус расходы» обычно выгоднее, когда документально подтверждённые расходы превышают примерно 60 процентов выручки. При этом придётся вести учёт расходов и подтверждать каждый из них первичными документами, а перечень учитываемых расходов закрытый.</w:t>
      </w:r>
    </w:p>
    <w:p>
      <w:pPr>
        <w:ind w:firstLine="425"/>
      </w:pPr>
      <w:r>
        <w:t xml:space="preserve">Участники договора простого товарищества и доверительного управления имуществом применяют только объект «доходы минус расходы» — иного выбора у них нет (ст. 346.14 НК).</w:t>
      </w:r>
    </w:p>
    <w:p>
      <w:pPr>
        <w:pStyle w:val="ClauseHeading"/>
      </w:pPr>
      <w:r>
        <w:rPr>
          <w:b/>
        </w:rPr>
        <w:t xml:space="preserve">Показатели и ограничения</w:t>
      </w:r>
    </w:p>
    <w:p>
      <w:pPr>
        <w:ind w:firstLine="425"/>
      </w:pPr>
      <w:r>
        <w:t xml:space="preserve">Право на переход подтверждается показателями, установленными статьёй 346.12 Налогового кодекса РФ (ст. 346.12 НК). Организация, переходящая с иного режима, указывает доходы за 9 месяцев и остаточную стоимость основных средств; предприниматель и вновь созданная организация эти показатели не приводят.</w:t>
      </w:r>
    </w:p>
    <w:p>
      <w:pPr>
        <w:ind w:firstLine="425"/>
      </w:pPr>
      <w:r>
        <w:t xml:space="preserve">Доходы за 9 месяцев ______ года: ______.</w:t>
      </w:r>
    </w:p>
    <w:p>
      <w:pPr>
        <w:ind w:firstLine="425"/>
      </w:pPr>
      <w:r>
        <w:t xml:space="preserve">Остаточная стоимость основных средств на 1 октября ______ года: ______.</w:t>
      </w:r>
    </w:p>
    <w:p>
      <w:pPr>
        <w:ind w:firstLine="425"/>
      </w:pPr>
      <w:r>
        <w:t xml:space="preserve">Средняя численность работников: ______.</w:t>
      </w:r>
    </w:p>
    <w:p>
      <w:pPr>
        <w:ind w:firstLine="425"/>
      </w:pPr>
      <w:r>
        <w:t xml:space="preserve">Предельный доход за 9 месяцев и лимит остаточной стоимости основных средств индексируются на коэффициент-дефлятор, поэтому действующие на дату подачи значения нужно сверить с актуальной редакцией пункта 2 статьи 346.12 НК РФ.</w:t>
      </w:r>
    </w:p>
    <w:p>
      <w:pPr>
        <w:ind w:firstLine="425"/>
      </w:pPr>
      <w:r>
        <w:t xml:space="preserve">Помимо числовых показателей есть безусловные запреты: упрощёнку не применяют банки, страховщики, ломбарды, микрофинансовые организации, производители подакцизных товаров, организации с долей участия других юридических лиц более 25 процентов и организации, имеющие филиалы.</w:t>
      </w:r>
    </w:p>
    <w:p>
      <w:pPr>
        <w:pStyle w:val="ClauseHeading"/>
      </w:pPr>
      <w:r>
        <w:rPr>
          <w:b/>
        </w:rPr>
        <w:t xml:space="preserve">Способ подачи и подтверждение</w:t>
      </w:r>
    </w:p>
    <w:p>
      <w:pPr>
        <w:ind w:firstLine="425"/>
      </w:pPr>
      <w:r>
        <w:t xml:space="preserve">Уведомление подаётся: ______.</w:t>
      </w:r>
    </w:p>
    <w:p>
      <w:pPr>
        <w:ind w:firstLine="425"/>
      </w:pPr>
      <w:r>
        <w:t xml:space="preserve">Форма 26.2-1 (КНД 1150001) рекомендована приказом ФНС России и не является обязательной: инспекция принимает уведомление и в произвольном виде, если в нём есть данные заявителя, дата перехода и выбранный объект налогообложения. Настоящий документ содержит все эти сведения.</w:t>
      </w:r>
    </w:p>
    <w:p>
      <w:pPr>
        <w:ind w:firstLine="425"/>
      </w:pPr>
      <w:r>
        <w:t xml:space="preserve">При личной подаче распечатайте два экземпляра и попросите проставить отметку о приёме на втором. При отправке почтой используйте заказное письмо с описью вложения: описью подтверждается не только факт отправки, но и содержание конверта. При подаче через личный кабинет или оператора ЭДО сохраните квитанцию о приёме — она равнозначна отметке инспекции.</w:t>
      </w:r>
    </w:p>
    <w:p>
      <w:pPr>
        <w:ind w:firstLine="425"/>
      </w:pPr>
      <w:r>
        <w:t xml:space="preserve">Прилагаемые документы: доверенность представителя — ______.</w:t>
      </w:r>
    </w:p>
    <w:p>
      <w:pPr>
        <w:ind w:firstLine="425"/>
      </w:pPr>
      <w:r>
        <w:t xml:space="preserve">Подписывает: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Если уведомление подписывает представитель, к нему прилагается доверенность. Доверенность от организации оформляется в простой письменной форме за подписью руководителя, а доверенность от предпринимателя как от физического лица должна быть удостоверена нотариально либо приравнена к нотариально удостоверенной (ст. 29 НК).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Налогоплательщик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о переходе на УСН (форма 26.2-1)» с сайта primadoc.ru. Документ, заполненный под вашу ситуацию, собирается в конструкторе: https://primadoc.ru/doc/uvedomlenie-o-perehode-na-usn-forma-26-2-1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переходе на УСН (форма 26.2-1) — пустой бланк</dc:title>
  <dc:creator>Примадок</dc:creator>
  <dcterms:created xsi:type="dcterms:W3CDTF">2026-09-11T12:15:50Z</dcterms:created>
</cp:coreProperties>
</file>