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УТВЕРЖДЕНО</w:t>
      </w:r>
    </w:p>
    <w:p>
      <w:pPr>
        <w:jc w:val="left"/>
      </w:pPr>
      <w:r>
        <w:t xml:space="preserve">приказ от 12.01.2026 № 4-ПДн</w:t>
      </w:r>
    </w:p>
    <w:p>
      <w:pPr>
        <w:jc w:val="left"/>
      </w:pPr>
      <w:r>
        <w:t xml:space="preserve">Оператор персональных данных: ООО «Ромашка»</w:t>
      </w:r>
    </w:p>
    <w:p>
      <w:pPr>
        <w:jc w:val="left"/>
      </w:pPr>
      <w:r>
        <w:t xml:space="preserve">Введено в действие со дня утверждения.</w:t>
      </w:r>
    </w:p>
    <w:p>
      <w:pPr>
        <w:jc w:val="left"/>
      </w:pPr>
      <w:r>
        <w:t xml:space="preserve">Заказчик работ и оператор персональных данных: ООО «Ромашка», ИНН 7701234567, ОГРН 1157746000111.</w:t>
      </w:r>
    </w:p>
    <w:p>
      <w:pPr>
        <w:jc w:val="left"/>
      </w:pPr>
      <w:r>
        <w:t xml:space="preserve">Адрес: г. Москва, ул. Ленина, д. 1, кв. 1. Телефон: +7 (900) 000-00-00. Электронная почта: info@romashka-demo.ru. Сайт: https://example.ru.</w:t>
      </w:r>
    </w:p>
    <w:p>
      <w:pPr>
        <w:jc w:val="left"/>
      </w:pPr>
      <w:r>
        <w:t xml:space="preserve">Ответственный за организацию обработки персональных данных: Иванов Иван Иванович, генеральный директор (ст. 22.1 152-ФЗ).</w:t>
      </w:r>
    </w:p>
    <w:p>
      <w:pPr>
        <w:jc w:val="left"/>
      </w:pPr>
      <w:r>
        <w:t xml:space="preserve">Исполнитель работ: определяется по результатам закупки; требуется лицензия ФСТЭК России на деятельность по технической защите конфиденциальной информации.</w:t>
      </w:r>
    </w:p>
    <w:p>
      <w:pPr>
        <w:jc w:val="left"/>
      </w:pPr>
      <w:r>
        <w:t xml:space="preserve">Место и дата утверждения: г. Москва, 01.01.2026.</w:t>
      </w:r>
    </w:p>
    <w:p>
      <w:pPr>
        <w:pStyle w:val="DocTitle"/>
      </w:pPr>
      <w:r>
        <w:t xml:space="preserve">Техническое задание на систему защиты ПДн (СЗПДн)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Основания разработки технического задания</w:t>
      </w:r>
    </w:p>
    <w:p>
      <w:pPr>
        <w:ind w:firstLine="425"/>
      </w:pPr>
      <w:r>
        <w:t xml:space="preserve">1.1. Настоящее техническое задание разработано в целях создания системы защиты персональных данных, обрабатываемых в информационных системах ООО «Ромашка».</w:t>
      </w:r>
    </w:p>
    <w:p>
      <w:pPr>
        <w:ind w:firstLine="425"/>
      </w:pPr>
      <w:r>
        <w:t xml:space="preserve">1.2. Основанием разработки является обязанность оператора принимать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 и распространения (ст. 19 152-ФЗ).</w:t>
      </w:r>
    </w:p>
    <w:p>
      <w:pPr>
        <w:ind w:firstLine="425"/>
      </w:pPr>
      <w:r>
        <w:t xml:space="preserve">1.3. Требования к защите персональных данных при их обработке в информационных системах и уровни защищённости установлены Правительством Российской Федерации (ПП РФ 1119 —).</w:t>
      </w:r>
    </w:p>
    <w:p>
      <w:pPr>
        <w:ind w:firstLine="425"/>
      </w:pPr>
      <w:r>
        <w:t xml:space="preserve">1.4. Состав и содержание организационных и технических мер по обеспечению безопасности персональных данных определены федеральным органом исполнительной власти в области обеспечения безопасности информации (Приказ ФСТЭК 21 —).</w:t>
      </w:r>
    </w:p>
    <w:p>
      <w:pPr>
        <w:ind w:firstLine="425"/>
      </w:pPr>
      <w:r>
        <w:t xml:space="preserve">1.5. Обработка персональных данных без использования средств автоматизации осуществляется с учётом требований, установленных отдельно, и в состав настоящего технического задания не входит (ПП РФ 687 —).</w:t>
      </w:r>
    </w:p>
    <w:p>
      <w:pPr>
        <w:ind w:firstLine="425"/>
      </w:pPr>
      <w:r>
        <w:t xml:space="preserve">1.6. Техническое задание вводится в действие приказом оператора и является обязательным для исполнителя работ и для подразделений оператора, участвующих в создании системы защиты.</w:t>
      </w:r>
    </w:p>
    <w:p>
      <w:pPr>
        <w:ind w:firstLine="425"/>
      </w:pPr>
      <w:r>
        <w:t xml:space="preserve">1.7. Изменения в техническое задание вносятся в том же порядке, в каком оно утверждено; работы, выполненные до внесения изменений, приёмке по новым требованиям не подлежат.</w:t>
      </w:r>
    </w:p>
    <w:p>
      <w:pPr>
        <w:pStyle w:val="ClauseHeading"/>
      </w:pPr>
      <w:r>
        <w:rPr>
          <w:b/>
        </w:rPr>
        <w:t xml:space="preserve">2. Цель создания СЗПДн</w:t>
      </w:r>
    </w:p>
    <w:p>
      <w:pPr>
        <w:ind w:firstLine="425"/>
      </w:pPr>
      <w:r>
        <w:t xml:space="preserve">2.1. Целью создания системы защиты персональных данных является обеспечение конфиденциальности, целостности и доступности персональных данных, обрабатываемых в информационных системах оператора.</w:t>
      </w:r>
    </w:p>
    <w:p>
      <w:pPr>
        <w:ind w:firstLine="425"/>
      </w:pPr>
      <w:r>
        <w:t xml:space="preserve">2.2. Система защиты должна нейтрализовать угрозы безопасности персональных данных, признанные актуальными в модели угроз оператора (Метод. документ ФСТЭК от 05.02.2021).</w:t>
      </w:r>
    </w:p>
    <w:p>
      <w:pPr>
        <w:ind w:firstLine="425"/>
      </w:pPr>
      <w:r>
        <w:t xml:space="preserve">2.3. Система защиты должна обеспечивать выполнение требований, установленных для уровня защищённости УЗ-1, и не может быть ниже его по составу мер.</w:t>
      </w:r>
    </w:p>
    <w:p>
      <w:pPr>
        <w:ind w:firstLine="425"/>
      </w:pPr>
      <w:r>
        <w:t xml:space="preserve">2.4. Система защиты должна обеспечивать возможность документального подтверждения принятых мер: оператор обязан по запросу уполномоченного органа доказать, что меры приняты, а не только предусмотрены.</w:t>
      </w:r>
    </w:p>
    <w:p>
      <w:pPr>
        <w:ind w:firstLine="425"/>
      </w:pPr>
      <w:r>
        <w:t xml:space="preserve">2.5. Создание системы защиты не должно приводить к невозможности выполнения информационными системами их основных функций и к недопустимому снижению их производительности.</w:t>
      </w:r>
    </w:p>
    <w:p>
      <w:pPr>
        <w:ind w:firstLine="425"/>
      </w:pPr>
      <w:r>
        <w:t xml:space="preserve">2.6. Меры защиты, реализуемые системой, должны сохранять работоспособность при изменении состава пользователей и при подключении новых рабочих мест в границах, определённых настоящим техническим заданием.</w:t>
      </w:r>
    </w:p>
    <w:p>
      <w:pPr>
        <w:pStyle w:val="ClauseHeading"/>
      </w:pPr>
      <w:r>
        <w:rPr>
          <w:b/>
        </w:rPr>
        <w:t xml:space="preserve">3. Объект защиты: состав и границы информационных систем</w:t>
      </w:r>
    </w:p>
    <w:p>
      <w:pPr>
        <w:ind w:firstLine="425"/>
      </w:pPr>
      <w:r>
        <w:t xml:space="preserve">3.1. Объектом защиты являются персональные данные, обрабатываемые в информационных системах оператора, а также технические средства обработки, машинные носители, средства защиты и каналы передачи данных.</w:t>
      </w:r>
    </w:p>
    <w:p>
      <w:pPr>
        <w:ind w:firstLine="425"/>
      </w:pPr>
      <w:r>
        <w:t xml:space="preserve">3.2. Состав информационных систем персональных данных, входящих в границы работ: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2249"/>
        <w:gridCol w:w="1607"/>
        <w:gridCol w:w="1607"/>
        <w:gridCol w:w="1607"/>
        <w:gridCol w:w="2088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ИСПДн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субъектов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Размещение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Пользователей</w:t>
            </w: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3.3. В границы работ входят серверное оборудование, автоматизированные рабочие места пользователей, сетевое оборудование сегментов обработки персональных данных и каналы связи между ними.</w:t>
      </w:r>
    </w:p>
    <w:p>
      <w:pPr>
        <w:ind w:firstLine="425"/>
      </w:pPr>
      <w:r>
        <w:t xml:space="preserve">3.4. За границами работ находятся информационные системы, не обрабатывающие персональные данные, а также обработка персональных данных без использования средств автоматизации.</w:t>
      </w:r>
    </w:p>
    <w:p>
      <w:pPr>
        <w:ind w:firstLine="425"/>
      </w:pPr>
      <w:r>
        <w:t xml:space="preserve">3.5. Изменение состава информационных систем в период выполнения работ оформляется дополнением к настоящему техническому заданию с пересмотром объёма и сроков работ.</w:t>
      </w:r>
    </w:p>
    <w:p>
      <w:pPr>
        <w:ind w:firstLine="425"/>
      </w:pPr>
      <w:r>
        <w:t xml:space="preserve">3.6. Защите подлежат также резервные копии баз данных и архивные носители: требования к ним применяются в том же объёме, что и к основным информационным системам (ст. 16 149-ФЗ).</w:t>
      </w:r>
    </w:p>
    <w:p>
      <w:pPr>
        <w:pStyle w:val="ClauseHeading"/>
      </w:pPr>
      <w:r>
        <w:rPr>
          <w:b/>
        </w:rPr>
        <w:t xml:space="preserve">4. Исходные данные для проектирования</w:t>
      </w:r>
    </w:p>
    <w:p>
      <w:pPr>
        <w:ind w:firstLine="425"/>
      </w:pPr>
      <w:r>
        <w:t xml:space="preserve">4.1. Категория обрабатываемых персональных данных: иные категории персональных данных.</w:t>
      </w:r>
    </w:p>
    <w:p>
      <w:pPr>
        <w:ind w:firstLine="425"/>
      </w:pPr>
      <w:r>
        <w:t xml:space="preserve">4.2. Отношение субъектов персональных данных к оператору: субъекты, являющиеся работниками оператора.</w:t>
      </w:r>
    </w:p>
    <w:p>
      <w:pPr>
        <w:ind w:firstLine="425"/>
      </w:pPr>
      <w:r>
        <w:t xml:space="preserve">4.3. Число субъектов персональных данных, данные которых обрабатываются: менее 100 000 субъектов.</w:t>
      </w:r>
    </w:p>
    <w:p>
      <w:pPr>
        <w:ind w:firstLine="425"/>
      </w:pPr>
      <w:r>
        <w:t xml:space="preserve">4.4. Тип актуальных угроз безопасности персональных данных: угрозы 1-го типа — недекларированные возможности системного программного обеспечения.</w:t>
      </w:r>
    </w:p>
    <w:p>
      <w:pPr>
        <w:ind w:firstLine="425"/>
      </w:pPr>
      <w:r>
        <w:t xml:space="preserve">4.5. Требуемый уровень защищённости персональных данных: УЗ-1 (ПП РФ 1119 —).</w:t>
      </w:r>
    </w:p>
    <w:p>
      <w:pPr>
        <w:ind w:firstLine="425"/>
      </w:pPr>
      <w:r>
        <w:t xml:space="preserve">4.6. Актуальные угрозы определяются на основании модели угроз оператора с использованием банка данных угроз безопасности информации (БДУ ФСТЭК bdu.fstec.ru).</w:t>
      </w:r>
    </w:p>
    <w:p>
      <w:pPr>
        <w:ind w:firstLine="425"/>
      </w:pPr>
      <w:r>
        <w:t xml:space="preserve">4.7. Обработка специальных категорий персональных данных и биометрических персональных данных, если она ведётся оператором, учитывается при определении уровня защищённости и требует усиленных мер защиты (ст. 10 152-ФЗ).</w:t>
      </w:r>
    </w:p>
    <w:p>
      <w:pPr>
        <w:ind w:firstLine="425"/>
      </w:pPr>
      <w:r>
        <w:t xml:space="preserve">4.8. Исходные данные подлежат актуализации при изменении состава обрабатываемых данных, целей обработки, числа субъектов и структуры информационных систем.</w:t>
      </w:r>
    </w:p>
    <w:p>
      <w:pPr>
        <w:pStyle w:val="ClauseHeading"/>
      </w:pPr>
      <w:r>
        <w:rPr>
          <w:b/>
        </w:rPr>
        <w:t xml:space="preserve">5. Порядок определения уровня защищённости</w:t>
      </w:r>
    </w:p>
    <w:p>
      <w:pPr>
        <w:ind w:firstLine="425"/>
      </w:pPr>
      <w:r>
        <w:t xml:space="preserve">5.1. Уровень защищённости персональных данных определяется сочетанием категории обрабатываемых данных, отношения субъектов к оператору, числа субъектов и типа актуальных угроз (ПП РФ 1119 —).</w:t>
      </w:r>
    </w:p>
    <w:p>
      <w:pPr>
        <w:ind w:firstLine="425"/>
      </w:pPr>
      <w:r>
        <w:t xml:space="preserve">5.2. Определённый уровень защищённости фиксируется актом оператора; изменение любого из исходных условий влечёт пересмотр уровня и объёма мер защиты.</w:t>
      </w:r>
    </w:p>
    <w:p>
      <w:pPr>
        <w:ind w:firstLine="425"/>
      </w:pPr>
      <w:r>
        <w:t xml:space="preserve">5.3. Меры, предусмотренные для более высокого уровня защищённости, применяются и на нижестоящих уровнях; обратное не допускается.</w:t>
      </w:r>
    </w:p>
    <w:p>
      <w:pPr>
        <w:ind w:firstLine="425"/>
      </w:pPr>
      <w:r>
        <w:t xml:space="preserve">5.4. Занижение уровня защищённости ради экономии на средствах защиты — самостоятельное нарушение: оператор обязан обеспечить меры, соответствующие фактическим условиям обработки, а не заявленным.</w:t>
      </w:r>
    </w:p>
    <w:p>
      <w:pPr>
        <w:pStyle w:val="ClauseHeading"/>
      </w:pPr>
      <w:r>
        <w:rPr>
          <w:b/>
        </w:rPr>
        <w:t xml:space="preserve">6. Требования для первого уровня защищённости</w:t>
      </w:r>
    </w:p>
    <w:p>
      <w:pPr>
        <w:ind w:firstLine="425"/>
      </w:pPr>
      <w:r>
        <w:t xml:space="preserve">6.1. Для первого уровня защищённости обеспечивается автоматическая регистрация в электронном журнале безопасности изменения полномочий сотрудника оператора по доступу к персональным данным.</w:t>
      </w:r>
    </w:p>
    <w:p>
      <w:pPr>
        <w:ind w:firstLine="425"/>
      </w:pPr>
      <w:r>
        <w:t xml:space="preserve">6.2. Создаётся структурное подразделение, ответственное за обеспечение безопасности персональных данных в информационной системе, либо такие функции возлагаются на отдельное подразделение оператора.</w:t>
      </w:r>
    </w:p>
    <w:p>
      <w:pPr>
        <w:ind w:firstLine="425"/>
      </w:pPr>
      <w:r>
        <w:t xml:space="preserve">6.3. Доступ к содержанию электронного журнала сообщений обеспечивается исключительно для должностных лиц оператора, которым сведения из журнала необходимы для выполнения служебных обязанностей.</w:t>
      </w:r>
    </w:p>
    <w:p>
      <w:pPr>
        <w:ind w:firstLine="425"/>
      </w:pPr>
      <w:r>
        <w:t xml:space="preserve">6.4. Применяются средства защиты информации, прошедшие процедуру оценки соответствия в форме обязательной сертификации, поскольку актуальны угрозы, связанные с недекларированными возможностями программного обеспечения.</w:t>
      </w:r>
    </w:p>
    <w:p>
      <w:pPr>
        <w:ind w:firstLine="425"/>
      </w:pPr>
      <w:r>
        <w:t xml:space="preserve">6.5. Реализуются все меры, предусмотренные для второго, третьего и четвёртого уровней защищённости, в полном объёме.</w:t>
      </w:r>
    </w:p>
    <w:p>
      <w:pPr>
        <w:pStyle w:val="ClauseHeading"/>
      </w:pPr>
      <w:r>
        <w:rPr>
          <w:b/>
        </w:rPr>
        <w:t xml:space="preserve">7. Требования для второго уровня защищённости</w:t>
      </w:r>
    </w:p>
    <w:p>
      <w:pPr>
        <w:ind w:firstLine="425"/>
      </w:pPr>
      <w:r>
        <w:t xml:space="preserve">7.1. Для второго уровня защищённости доступ к содержанию электронного журнала сообщений обеспечивается исключительно для должностных лиц оператора или уполномоченного лица, которым сведения из журнала необходимы для выполнения служебных обязанностей.</w:t>
      </w:r>
    </w:p>
    <w:p>
      <w:pPr>
        <w:ind w:firstLine="425"/>
      </w:pPr>
      <w:r>
        <w:t xml:space="preserve">7.2. Назначается должностное лицо, ответственное за обеспечение безопасности персональных данных в информационной системе.</w:t>
      </w:r>
    </w:p>
    <w:p>
      <w:pPr>
        <w:ind w:firstLine="425"/>
      </w:pPr>
      <w:r>
        <w:t xml:space="preserve">7.3. Обеспечивается режим безопасности помещений, в которых размещена информационная система, препятствующий возможности неконтролируемого проникновения и пребывания посторонних лиц.</w:t>
      </w:r>
    </w:p>
    <w:p>
      <w:pPr>
        <w:ind w:firstLine="425"/>
      </w:pPr>
      <w:r>
        <w:t xml:space="preserve">7.4. Обеспечивается сохранность машинных носителей персональных данных и утверждается перечень лиц, доступ которых к персональным данным необходим для выполнения служебных обязанностей.</w:t>
      </w:r>
    </w:p>
    <w:p>
      <w:pPr>
        <w:ind w:firstLine="425"/>
      </w:pPr>
      <w:r>
        <w:t xml:space="preserve">7.5. Применяются средства защиты информации, прошедшие процедуру оценки соответствия требованиям законодательства в области обеспечения безопасности информации.</w:t>
      </w:r>
    </w:p>
    <w:p>
      <w:pPr>
        <w:ind w:firstLine="425"/>
      </w:pPr>
      <w:r>
        <w:t xml:space="preserve">7.6. Реализуются все меры, предусмотренные для третьего и четвёртого уровней защищённости, в полном объёме.</w:t>
      </w:r>
    </w:p>
    <w:p>
      <w:pPr>
        <w:pStyle w:val="ClauseHeading"/>
      </w:pPr>
      <w:r>
        <w:rPr>
          <w:b/>
        </w:rPr>
        <w:t xml:space="preserve">8. Требования для третьего уровня защищённости</w:t>
      </w:r>
    </w:p>
    <w:p>
      <w:pPr>
        <w:ind w:firstLine="425"/>
      </w:pPr>
      <w:r>
        <w:t xml:space="preserve">8.1. Для третьего уровня защищённости назначается должностное лицо, ответственное за обеспечение безопасности персональных данных в информационной системе.</w:t>
      </w:r>
    </w:p>
    <w:p>
      <w:pPr>
        <w:ind w:firstLine="425"/>
      </w:pPr>
      <w:r>
        <w:t xml:space="preserve">8.2. Обеспечивается режим безопасности помещений, в которых размещена информационная система, препятствующий возможности неконтролируемого проникновения и пребывания в них посторонних лиц.</w:t>
      </w:r>
    </w:p>
    <w:p>
      <w:pPr>
        <w:ind w:firstLine="425"/>
      </w:pPr>
      <w:r>
        <w:t xml:space="preserve">8.3. Обеспечивается сохранность машинных носителей персональных данных: носители учитываются, хранятся в запираемых шкафах и передаются между работниками под подпись.</w:t>
      </w:r>
    </w:p>
    <w:p>
      <w:pPr>
        <w:ind w:firstLine="425"/>
      </w:pPr>
      <w:r>
        <w:t xml:space="preserve">8.4. Утверждается руководителем оператора документ, определяющий перечень лиц, доступ которых к персональным данным необходим для выполнения служебных обязанностей.</w:t>
      </w:r>
    </w:p>
    <w:p>
      <w:pPr>
        <w:ind w:firstLine="425"/>
      </w:pPr>
      <w:r>
        <w:t xml:space="preserve">8.5. Применяются средства защиты информации, прошедшие процедуру оценки соответствия требованиям законодательства в области обеспечения безопасности информации.</w:t>
      </w:r>
    </w:p>
    <w:p>
      <w:pPr>
        <w:ind w:firstLine="425"/>
      </w:pPr>
      <w:r>
        <w:t xml:space="preserve">8.6. Реализуются все меры, предусмотренные для четвёртого уровня защищённости, в полном объёме.</w:t>
      </w:r>
    </w:p>
    <w:p>
      <w:pPr>
        <w:pStyle w:val="ClauseHeading"/>
      </w:pPr>
      <w:r>
        <w:rPr>
          <w:b/>
        </w:rPr>
        <w:t xml:space="preserve">9. Требования для четвёртого уровня защищённости</w:t>
      </w:r>
    </w:p>
    <w:p>
      <w:pPr>
        <w:ind w:firstLine="425"/>
      </w:pPr>
      <w:r>
        <w:t xml:space="preserve">9.1. Для четвёртого уровня защищённости обеспечивается режим безопасности помещений, в которых размещена информационная система, препятствующий возможности неконтролируемого проникновения и пребывания в них посторонних лиц.</w:t>
      </w:r>
    </w:p>
    <w:p>
      <w:pPr>
        <w:ind w:firstLine="425"/>
      </w:pPr>
      <w:r>
        <w:t xml:space="preserve">9.2. Обеспечивается сохранность машинных носителей персональных данных, включая учёт носителей и контроль их выдачи и возврата.</w:t>
      </w:r>
    </w:p>
    <w:p>
      <w:pPr>
        <w:ind w:firstLine="425"/>
      </w:pPr>
      <w:r>
        <w:t xml:space="preserve">9.3. Утверждается руководителем оператора документ, определяющий перечень лиц, доступ которых к персональным данным необходим для выполнения ими служебных обязанностей.</w:t>
      </w:r>
    </w:p>
    <w:p>
      <w:pPr>
        <w:ind w:firstLine="425"/>
      </w:pPr>
      <w:r>
        <w:t xml:space="preserve">9.4. Применяются средства защиты информации, прошедшие процедуру оценки соответствия требованиям законодательства в области обеспечения безопасности информации.</w:t>
      </w:r>
    </w:p>
    <w:p>
      <w:pPr>
        <w:ind w:firstLine="425"/>
      </w:pPr>
      <w:r>
        <w:t xml:space="preserve">9.5. Четвёртый уровень защищённости является минимальным: он не освобождает оператора от иных мер, необходимых по результатам оценки актуальных угроз.</w:t>
      </w:r>
    </w:p>
    <w:p>
      <w:pPr>
        <w:pStyle w:val="ClauseHeading"/>
      </w:pPr>
      <w:r>
        <w:rPr>
          <w:b/>
        </w:rPr>
        <w:t xml:space="preserve">10. Требования к подсистемам СЗПДн</w:t>
      </w:r>
    </w:p>
    <w:p>
      <w:pPr>
        <w:ind w:firstLine="425"/>
      </w:pPr>
      <w:r>
        <w:t xml:space="preserve">10.1. Система защиты персональных данных строится по подсистемам; каждая подсистема реализует свою группу мер и проверяется отдельно (Приказ ФСТЭК 21 —).</w:t>
      </w:r>
    </w:p>
    <w:p>
      <w:pPr>
        <w:ind w:firstLine="425"/>
      </w:pPr>
      <w:r>
        <w:t xml:space="preserve">10.2. Сводные требования к подсистемам системы защиты, подлежащие реализации исполнителем: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351"/>
        <w:gridCol w:w="2351"/>
        <w:gridCol w:w="2351"/>
        <w:gridCol w:w="188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Подсистема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реализации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проверки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10.3. Каждое требование настоящего раздела должно быть проверяемым: формулировки, не позволяющие однозначно установить факт выполнения, к приёмке не принимаются.</w:t>
      </w:r>
    </w:p>
    <w:p>
      <w:pPr>
        <w:ind w:firstLine="425"/>
      </w:pPr>
      <w:r>
        <w:t xml:space="preserve">10.4. Реализация требований одной подсистемы не должна блокировать работу другой; конфликты средств защиты устраняются исполнителем за свой счёт.</w:t>
      </w:r>
    </w:p>
    <w:p>
      <w:pPr>
        <w:ind w:firstLine="425"/>
      </w:pPr>
      <w:r>
        <w:t xml:space="preserve">10.5. Требования настоящего раздела применяются ко всем информационным системам, включённым в границы работ, если для конкретной системы прямо не установлено иное.</w:t>
      </w:r>
    </w:p>
    <w:p>
      <w:pPr>
        <w:pStyle w:val="ClauseHeading"/>
      </w:pPr>
      <w:r>
        <w:rPr>
          <w:b/>
        </w:rPr>
        <w:t xml:space="preserve">11. Подсистема управления доступом</w:t>
      </w:r>
    </w:p>
    <w:p>
      <w:pPr>
        <w:ind w:firstLine="425"/>
      </w:pPr>
      <w:r>
        <w:t xml:space="preserve">11.1. Подсистема обеспечивает идентификацию и аутентификацию пользователей, процессов и устройств до предоставления доступа к персональным данным.</w:t>
      </w:r>
    </w:p>
    <w:p>
      <w:pPr>
        <w:ind w:firstLine="425"/>
      </w:pPr>
      <w:r>
        <w:t xml:space="preserve">11.2. Доступ предоставляется по принципу минимально необходимых полномочий: пользователь получает права только к тем данным, которые нужны для выполнения его служебных обязанностей.</w:t>
      </w:r>
    </w:p>
    <w:p>
      <w:pPr>
        <w:ind w:firstLine="425"/>
      </w:pPr>
      <w:r>
        <w:t xml:space="preserve">11.3. Учётные записи создаются, изменяются и блокируются только на основании документированного распоряжения; блокирование производится в день прекращения трудового договора или изменения обязанностей.</w:t>
      </w:r>
    </w:p>
    <w:p>
      <w:pPr>
        <w:ind w:firstLine="425"/>
      </w:pPr>
      <w:r>
        <w:t xml:space="preserve">11.4. Обеспечивается парольная политика с минимальной длиной пароля, требованиями к сложности, сроком действия и запретом повторного использования ранее заданных паролей.</w:t>
      </w:r>
    </w:p>
    <w:p>
      <w:pPr>
        <w:ind w:firstLine="425"/>
      </w:pPr>
      <w:r>
        <w:t xml:space="preserve">11.5. Обеспечивается автоматическое блокирование сеанса после установленного времени бездействия и блокирование учётной записи после заданного числа неудачных попыток входа.</w:t>
      </w:r>
    </w:p>
    <w:p>
      <w:pPr>
        <w:ind w:firstLine="425"/>
      </w:pPr>
      <w:r>
        <w:t xml:space="preserve">11.6. Удалённый доступ к информационным системам персональных данных допускается только через защищённое соединение с многофакторной аутентификацией.</w:t>
      </w:r>
    </w:p>
    <w:p>
      <w:pPr>
        <w:ind w:firstLine="425"/>
      </w:pPr>
      <w:r>
        <w:t xml:space="preserve">11.7. Общие и групповые учётные записи, не позволяющие установить конкретного пользователя, не применяются.</w:t>
      </w:r>
    </w:p>
    <w:p>
      <w:pPr>
        <w:pStyle w:val="ClauseHeading"/>
      </w:pPr>
      <w:r>
        <w:rPr>
          <w:b/>
        </w:rPr>
        <w:t xml:space="preserve">12. Подсистема регистрации и учёта событий безопасности</w:t>
      </w:r>
    </w:p>
    <w:p>
      <w:pPr>
        <w:ind w:firstLine="425"/>
      </w:pPr>
      <w:r>
        <w:t xml:space="preserve">12.1. Подсистема обеспечивает регистрацию входа и выхода пользователей, попыток доступа к персональным данным, изменения полномочий и действий с учётными записями.</w:t>
      </w:r>
    </w:p>
    <w:p>
      <w:pPr>
        <w:ind w:firstLine="425"/>
      </w:pPr>
      <w:r>
        <w:t xml:space="preserve">12.2. Регистрируются факты обращения к персональным данным с указанием даты, времени, идентификатора пользователя, наименования объекта доступа и результата операции.</w:t>
      </w:r>
    </w:p>
    <w:p>
      <w:pPr>
        <w:ind w:firstLine="425"/>
      </w:pPr>
      <w:r>
        <w:t xml:space="preserve">12.3. Записи журналов защищаются от изменения и удаления пользователями информационной системы, включая пользователей с расширенными правами.</w:t>
      </w:r>
    </w:p>
    <w:p>
      <w:pPr>
        <w:ind w:firstLine="425"/>
      </w:pPr>
      <w:r>
        <w:t xml:space="preserve">12.4. Устанавливается срок хранения журналов, достаточный для расследования инцидента; журналы не удаляются до истечения этого срока даже при нехватке дискового пространства.</w:t>
      </w:r>
    </w:p>
    <w:p>
      <w:pPr>
        <w:ind w:firstLine="425"/>
      </w:pPr>
      <w:r>
        <w:t xml:space="preserve">12.5. Обеспечивается регулярный просмотр и анализ записей журналов ответственным работником, а также автоматическое оповещение о критических событиях безопасности.</w:t>
      </w:r>
    </w:p>
    <w:p>
      <w:pPr>
        <w:ind w:firstLine="425"/>
      </w:pPr>
      <w:r>
        <w:t xml:space="preserve">12.6. Учёт машинных носителей персональных данных ведётся с фиксацией их выдачи, возврата, перемещения и уничтожения.</w:t>
      </w:r>
    </w:p>
    <w:p>
      <w:pPr>
        <w:ind w:firstLine="425"/>
      </w:pPr>
      <w:r>
        <w:t xml:space="preserve">12.7. Возможность восстановить, кто и когда обращался к конкретной записи, — то, что оператор предъявляет при расследовании утечки; без журналов доказать отсутствие неправомерного доступа невозможно.</w:t>
      </w:r>
    </w:p>
    <w:p>
      <w:pPr>
        <w:pStyle w:val="ClauseHeading"/>
      </w:pPr>
      <w:r>
        <w:rPr>
          <w:b/>
        </w:rPr>
        <w:t xml:space="preserve">13. Подсистема антивирусной защиты</w:t>
      </w:r>
    </w:p>
    <w:p>
      <w:pPr>
        <w:ind w:firstLine="425"/>
      </w:pPr>
      <w:r>
        <w:t xml:space="preserve">13.1. Подсистема обеспечивает защиту от вредоносных компьютерных программ на серверах, автоматизированных рабочих местах и на средствах межсетевого взаимодействия.</w:t>
      </w:r>
    </w:p>
    <w:p>
      <w:pPr>
        <w:ind w:firstLine="425"/>
      </w:pPr>
      <w:r>
        <w:t xml:space="preserve">13.2. Обеспечивается автоматическое обновление баз данных признаков вредоносных программ с периодичностью не реже одного раза в сутки.</w:t>
      </w:r>
    </w:p>
    <w:p>
      <w:pPr>
        <w:ind w:firstLine="425"/>
      </w:pPr>
      <w:r>
        <w:t xml:space="preserve">13.3. Обеспечивается проверка объектов в режиме реального времени при их создании, открытии, изменении и передаче, а также периодическая полная проверка носителей.</w:t>
      </w:r>
    </w:p>
    <w:p>
      <w:pPr>
        <w:ind w:firstLine="425"/>
      </w:pPr>
      <w:r>
        <w:t xml:space="preserve">13.4. Обеспечивается контроль подключаемых съёмных машинных носителей и запрет автозапуска с них.</w:t>
      </w:r>
    </w:p>
    <w:p>
      <w:pPr>
        <w:ind w:firstLine="425"/>
      </w:pPr>
      <w:r>
        <w:t xml:space="preserve">13.5. Пользователи лишены возможности отключать или изменять настройки средств антивирусной защиты.</w:t>
      </w:r>
    </w:p>
    <w:p>
      <w:pPr>
        <w:ind w:firstLine="425"/>
      </w:pPr>
      <w:r>
        <w:t xml:space="preserve">13.6. События обнаружения вредоносных программ регистрируются и передаются администратору безопасности, а заражённые объекты помещаются в карантин.</w:t>
      </w:r>
    </w:p>
    <w:p>
      <w:pPr>
        <w:pStyle w:val="ClauseHeading"/>
      </w:pPr>
      <w:r>
        <w:rPr>
          <w:b/>
        </w:rPr>
        <w:t xml:space="preserve">14. Подсистема обнаружения вторжений и анализа защищённости</w:t>
      </w:r>
    </w:p>
    <w:p>
      <w:pPr>
        <w:ind w:firstLine="425"/>
      </w:pPr>
      <w:r>
        <w:t xml:space="preserve">14.1. Подсистема обеспечивает обнаружение компьютерных атак на информационные системы персональных данных и оповещение администратора безопасности.</w:t>
      </w:r>
    </w:p>
    <w:p>
      <w:pPr>
        <w:ind w:firstLine="425"/>
      </w:pPr>
      <w:r>
        <w:t xml:space="preserve">14.2. Обеспечивается обновление базы решающих правил обнаружения вторжений с периодичностью, установленной изготовителем средства защиты.</w:t>
      </w:r>
    </w:p>
    <w:p>
      <w:pPr>
        <w:ind w:firstLine="425"/>
      </w:pPr>
      <w:r>
        <w:t xml:space="preserve">14.3. Обеспечивается периодический анализ защищённости: поиск уязвимостей операционных систем, прикладного программного обеспечения и сетевых сервисов не реже одного раза в квартал.</w:t>
      </w:r>
    </w:p>
    <w:p>
      <w:pPr>
        <w:ind w:firstLine="425"/>
      </w:pPr>
      <w:r>
        <w:t xml:space="preserve">14.4. Выявленные уязвимости устраняются в срок, зависящий от их критичности; критические уязвимости устраняются в первоочередном порядке.</w:t>
      </w:r>
    </w:p>
    <w:p>
      <w:pPr>
        <w:ind w:firstLine="425"/>
      </w:pPr>
      <w:r>
        <w:t xml:space="preserve">14.5. Обеспечивается контроль установки обновлений безопасности программного обеспечения и фиксация факта их установки.</w:t>
      </w:r>
    </w:p>
    <w:p>
      <w:pPr>
        <w:ind w:firstLine="425"/>
      </w:pPr>
      <w:r>
        <w:t xml:space="preserve">14.6. Результаты анализа защищённости оформляются отчётом с перечнем уязвимостей, оценкой их опасности и планом устранения.</w:t>
      </w:r>
    </w:p>
    <w:p>
      <w:pPr>
        <w:pStyle w:val="ClauseHeading"/>
      </w:pPr>
      <w:r>
        <w:rPr>
          <w:b/>
        </w:rPr>
        <w:t xml:space="preserve">15. Подсистема контроля целостности</w:t>
      </w:r>
    </w:p>
    <w:p>
      <w:pPr>
        <w:ind w:firstLine="425"/>
      </w:pPr>
      <w:r>
        <w:t xml:space="preserve">15.1. Подсистема обеспечивает контроль целостности программной среды, средств защиты информации и критичных файлов конфигурации.</w:t>
      </w:r>
    </w:p>
    <w:p>
      <w:pPr>
        <w:ind w:firstLine="425"/>
      </w:pPr>
      <w:r>
        <w:t xml:space="preserve">15.2. Контроль целостности выполняется при загрузке системы, периодически в процессе работы и по команде администратора безопасности.</w:t>
      </w:r>
    </w:p>
    <w:p>
      <w:pPr>
        <w:ind w:firstLine="425"/>
      </w:pPr>
      <w:r>
        <w:t xml:space="preserve">15.3. Обеспечивается контроль состава программного обеспечения и запрет установки и запуска программ, не включённых в разрешённый перечень.</w:t>
      </w:r>
    </w:p>
    <w:p>
      <w:pPr>
        <w:ind w:firstLine="425"/>
      </w:pPr>
      <w:r>
        <w:t xml:space="preserve">15.4. Нарушение целостности фиксируется в журнале и влечёт оповещение администратора безопасности, а при критичном нарушении — блокирование загрузки.</w:t>
      </w:r>
    </w:p>
    <w:p>
      <w:pPr>
        <w:ind w:firstLine="425"/>
      </w:pPr>
      <w:r>
        <w:t xml:space="preserve">15.5. Обеспечивается восстановление контролируемых объектов из эталонных копий после подтверждённого нарушения целостности.</w:t>
      </w:r>
    </w:p>
    <w:p>
      <w:pPr>
        <w:ind w:firstLine="425"/>
      </w:pPr>
      <w:r>
        <w:t xml:space="preserve">15.6. Изменения программной среды выполняются только в рамках документированной процедуры управления изменениями с последующей актуализацией эталонных значений.</w:t>
      </w:r>
    </w:p>
    <w:p>
      <w:pPr>
        <w:pStyle w:val="ClauseHeading"/>
      </w:pPr>
      <w:r>
        <w:rPr>
          <w:b/>
        </w:rPr>
        <w:t xml:space="preserve">16. Подсистема защиты каналов связи</w:t>
      </w:r>
    </w:p>
    <w:p>
      <w:pPr>
        <w:ind w:firstLine="425"/>
      </w:pPr>
      <w:r>
        <w:t xml:space="preserve">16.1. Подсистема обеспечивает защиту персональных данных при их передаче по каналам связи, выходящим за пределы контролируемой зоны.</w:t>
      </w:r>
    </w:p>
    <w:p>
      <w:pPr>
        <w:ind w:firstLine="425"/>
      </w:pPr>
      <w:r>
        <w:t xml:space="preserve">16.2. Передача персональных данных за пределы контролируемой зоны осуществляется только по защищённому каналу с применением средств криптографической защиты информации.</w:t>
      </w:r>
    </w:p>
    <w:p>
      <w:pPr>
        <w:ind w:firstLine="425"/>
      </w:pPr>
      <w:r>
        <w:t xml:space="preserve">16.3. Обеспечивается сегментирование сети: сегменты обработки персональных данных отделяются от прочих сегментов средствами межсетевого экранирования.</w:t>
      </w:r>
    </w:p>
    <w:p>
      <w:pPr>
        <w:ind w:firstLine="425"/>
      </w:pPr>
      <w:r>
        <w:t xml:space="preserve">16.4. Обеспечивается фильтрация сетевого трафика по правилам, разрешающим только необходимое взаимодействие, при запрете всего остального по умолчанию.</w:t>
      </w:r>
    </w:p>
    <w:p>
      <w:pPr>
        <w:ind w:firstLine="425"/>
      </w:pPr>
      <w:r>
        <w:t xml:space="preserve">16.5. Публикация сервисов, обрабатывающих персональные данные, в сети Интернет допускается только через защищённое соединение с проверкой подлинности сервера.</w:t>
      </w:r>
    </w:p>
    <w:p>
      <w:pPr>
        <w:ind w:firstLine="425"/>
      </w:pPr>
      <w:r>
        <w:t xml:space="preserve">16.6. Беспроводной доступ к сегментам обработки персональных данных допускается только при использовании защищённого протокола и аутентификации устройств.</w:t>
      </w:r>
    </w:p>
    <w:p>
      <w:pPr>
        <w:ind w:firstLine="425"/>
      </w:pPr>
      <w:r>
        <w:t xml:space="preserve">16.7. Средства криптографической защиты применяются в соответствии с требованиями федерального органа исполнительной власти в области обеспечения безопасности.</w:t>
      </w:r>
    </w:p>
    <w:p>
      <w:pPr>
        <w:pStyle w:val="ClauseHeading"/>
      </w:pPr>
      <w:r>
        <w:rPr>
          <w:b/>
        </w:rPr>
        <w:t xml:space="preserve">17. Подсистема резервного копирования и восстановления</w:t>
      </w:r>
    </w:p>
    <w:p>
      <w:pPr>
        <w:ind w:firstLine="425"/>
      </w:pPr>
      <w:r>
        <w:t xml:space="preserve">17.1. Подсистема обеспечивает резервное копирование баз данных и конфигураций информационных систем персональных данных и восстановление их работоспособности после сбоя.</w:t>
      </w:r>
    </w:p>
    <w:p>
      <w:pPr>
        <w:ind w:firstLine="425"/>
      </w:pPr>
      <w:r>
        <w:t xml:space="preserve">17.2. Режим резервного копирования: полное копирование еженедельно, инкрементальное ежесуточно, глубина хранения 30 дней.</w:t>
      </w:r>
    </w:p>
    <w:p>
      <w:pPr>
        <w:ind w:firstLine="425"/>
      </w:pPr>
      <w:r>
        <w:t xml:space="preserve">17.3. Резервные копии, содержащие персональные данные, защищаются в том же объёме, что и основные информационные системы, включая шифрование при хранении вне контролируемой зоны.</w:t>
      </w:r>
    </w:p>
    <w:p>
      <w:pPr>
        <w:ind w:firstLine="425"/>
      </w:pPr>
      <w:r>
        <w:t xml:space="preserve">17.4. Доступ к резервным копиям предоставляется ограниченному кругу лиц и регистрируется наравне с доступом к основным данным.</w:t>
      </w:r>
    </w:p>
    <w:p>
      <w:pPr>
        <w:ind w:firstLine="425"/>
      </w:pPr>
      <w:r>
        <w:t xml:space="preserve">17.5. Работоспособность резервных копий проверяется контрольным восстановлением не реже одного раза в квартал с оформлением результата проверки.</w:t>
      </w:r>
    </w:p>
    <w:p>
      <w:pPr>
        <w:ind w:firstLine="425"/>
      </w:pPr>
      <w:r>
        <w:t xml:space="preserve">17.6. Резервные копии, содержащие данные, подлежащие уничтожению, уничтожаются в те же сроки, что и основные записи: сохранившаяся копия делает уничтожение данных незавершённым.</w:t>
      </w:r>
    </w:p>
    <w:p>
      <w:pPr>
        <w:pStyle w:val="ClauseHeading"/>
      </w:pPr>
      <w:r>
        <w:rPr>
          <w:b/>
        </w:rPr>
        <w:t xml:space="preserve">18. Требования к применяемым средствам защиты информации</w:t>
      </w:r>
    </w:p>
    <w:p>
      <w:pPr>
        <w:ind w:firstLine="425"/>
      </w:pPr>
      <w:r>
        <w:t xml:space="preserve">18.1. К применению допускаются средства защиты информации, прошедшие оценку соответствия требованиям законодательства в области обеспечения безопасности информации (ст. 19 152-ФЗ).</w:t>
      </w:r>
    </w:p>
    <w:p>
      <w:pPr>
        <w:ind w:firstLine="425"/>
      </w:pPr>
      <w:r>
        <w:t xml:space="preserve">18.2. Требования к сертификации и классу средств защиты: средства защиты информации, сертифицированные ФСТЭК России по 4 классу защиты и не ниже 4 уровня доверия.</w:t>
      </w:r>
    </w:p>
    <w:p>
      <w:pPr>
        <w:ind w:firstLine="425"/>
      </w:pPr>
      <w:r>
        <w:t xml:space="preserve">18.3. При актуальности угроз 1-го и 2-го типа применяются средства защиты, прошедшие оценку соответствия в форме обязательной сертификации, — иной способ подтверждения соответствия не принимается.</w:t>
      </w:r>
    </w:p>
    <w:p>
      <w:pPr>
        <w:ind w:firstLine="425"/>
      </w:pPr>
      <w:r>
        <w:t xml:space="preserve">18.4. Исполнитель представляет заказчику копии сертификатов соответствия на все поставляемые средства защиты с указанием срока их действия.</w:t>
      </w:r>
    </w:p>
    <w:p>
      <w:pPr>
        <w:ind w:firstLine="425"/>
      </w:pPr>
      <w:r>
        <w:t xml:space="preserve">18.5. Срок действия сертификата на дату приёмки работ должен быть не менее двенадцати месяцев; поставка средств с истекающим сертификатом не допускается.</w:t>
      </w:r>
    </w:p>
    <w:p>
      <w:pPr>
        <w:ind w:firstLine="425"/>
      </w:pPr>
      <w:r>
        <w:t xml:space="preserve">18.6. Исполнитель передаёт заказчику лицензии на использование средств защиты, оформленные на заказчика, а также эксплуатационную документацию изготовителя.</w:t>
      </w:r>
    </w:p>
    <w:p>
      <w:pPr>
        <w:ind w:firstLine="425"/>
      </w:pPr>
      <w:r>
        <w:t xml:space="preserve">18.7. Средства защиты настраиваются в соответствии с эксплуатационной документацией изготовителя; отклонения от неё фиксируются письменно с обоснованием.</w:t>
      </w:r>
    </w:p>
    <w:p>
      <w:pPr>
        <w:pStyle w:val="ClauseHeading"/>
      </w:pPr>
      <w:r>
        <w:rPr>
          <w:b/>
        </w:rPr>
        <w:t xml:space="preserve">19. Требования к документированию</w:t>
      </w:r>
    </w:p>
    <w:p>
      <w:pPr>
        <w:ind w:firstLine="425"/>
      </w:pPr>
      <w:r>
        <w:t xml:space="preserve">19.1. По результатам работ исполнитель разрабатывает и передаёт заказчику модель угроз безопасности персональных данных, актуализированную по составу информационных систем (Метод. документ ФСТЭК от 05.02.2021).</w:t>
      </w:r>
    </w:p>
    <w:p>
      <w:pPr>
        <w:ind w:firstLine="425"/>
      </w:pPr>
      <w:r>
        <w:t xml:space="preserve">19.2. Исполнитель разрабатывает акт определения уровня защищённости персональных данных при их обработке в информационных системах оператора.</w:t>
      </w:r>
    </w:p>
    <w:p>
      <w:pPr>
        <w:ind w:firstLine="425"/>
      </w:pPr>
      <w:r>
        <w:t xml:space="preserve">19.3. Исполнитель разрабатывает технический проект системы защиты с описанием состава средств защиты, схем размещения и порядка их взаимодействия.</w:t>
      </w:r>
    </w:p>
    <w:p>
      <w:pPr>
        <w:ind w:firstLine="425"/>
      </w:pPr>
      <w:r>
        <w:t xml:space="preserve">19.4. Исполнитель разрабатывает эксплуатационную документацию: инструкцию администратора безопасности, инструкцию пользователя информационной системы и регламент резервного копирования.</w:t>
      </w:r>
    </w:p>
    <w:p>
      <w:pPr>
        <w:ind w:firstLine="425"/>
      </w:pPr>
      <w:r>
        <w:t xml:space="preserve">19.5. Исполнитель разрабатывает регламент реагирования на инциденты безопасности с указанием порядка действий, сроков уведомления и ответственных лиц.</w:t>
      </w:r>
    </w:p>
    <w:p>
      <w:pPr>
        <w:ind w:firstLine="425"/>
      </w:pPr>
      <w:r>
        <w:t xml:space="preserve">19.6. Исполнитель разрабатывает программу и методику испытаний, по которой производится проверка выполнения каждого требования настоящего технического задания.</w:t>
      </w:r>
    </w:p>
    <w:p>
      <w:pPr>
        <w:ind w:firstLine="425"/>
      </w:pPr>
      <w:r>
        <w:t xml:space="preserve">19.7. Документация передаётся заказчику на бумажном носителе и в электронном виде в редактируемом формате; передача только в нередактируемом формате приёмкой не считается.</w:t>
      </w:r>
    </w:p>
    <w:p>
      <w:pPr>
        <w:ind w:firstLine="425"/>
      </w:pPr>
      <w:r>
        <w:t xml:space="preserve">19.8. Разработанные документы утверждаются приказом оператора и вводятся в действие в срок не позднее тридцати дней со дня приёмки работ (ст. 18.1 152-ФЗ).</w:t>
      </w:r>
    </w:p>
    <w:p>
      <w:pPr>
        <w:pStyle w:val="ClauseHeading"/>
      </w:pPr>
      <w:r>
        <w:rPr>
          <w:b/>
        </w:rPr>
        <w:t xml:space="preserve">20. Состав и содержание работ по стадиям</w:t>
      </w:r>
    </w:p>
    <w:p>
      <w:pPr>
        <w:ind w:firstLine="425"/>
      </w:pPr>
      <w:r>
        <w:t xml:space="preserve">20.1. Работы выполняются последовательно по стадиям; переход к следующей стадии допускается после приёмки результата предыдущей.</w:t>
      </w:r>
    </w:p>
    <w:p>
      <w:pPr>
        <w:ind w:firstLine="425"/>
      </w:pPr>
      <w:r>
        <w:t xml:space="preserve">20.2. Состав работ по стадиям, результаты и сроки: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1483"/>
        <w:gridCol w:w="2966"/>
        <w:gridCol w:w="2224"/>
        <w:gridCol w:w="2224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Стадия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работ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20.3. На стадии обследования исполнитель определяет состав информационных систем, потоки персональных данных, состав пользователей и применяемые средства защиты.</w:t>
      </w:r>
    </w:p>
    <w:p>
      <w:pPr>
        <w:ind w:firstLine="425"/>
      </w:pPr>
      <w:r>
        <w:t xml:space="preserve">20.4. На стадии проектирования исполнитель разрабатывает модель угроз, определяет уровень защищённости и готовит технический проект системы защиты.</w:t>
      </w:r>
    </w:p>
    <w:p>
      <w:pPr>
        <w:ind w:firstLine="425"/>
      </w:pPr>
      <w:r>
        <w:t xml:space="preserve">20.5. На стадии внедрения исполнитель поставляет, устанавливает и настраивает средства защиты, проводит их первичную проверку и обучает администратора безопасности.</w:t>
      </w:r>
    </w:p>
    <w:p>
      <w:pPr>
        <w:ind w:firstLine="425"/>
      </w:pPr>
      <w:r>
        <w:t xml:space="preserve">20.6. На стадии испытаний исполнитель проводит проверку выполнения требований по программе и методике испытаний с оформлением протоколов.</w:t>
      </w:r>
    </w:p>
    <w:p>
      <w:pPr>
        <w:ind w:firstLine="425"/>
      </w:pPr>
      <w:r>
        <w:t xml:space="preserve">20.7. На стадии ввода в эксплуатацию исполнитель передаёт документацию, устраняет замечания и участвует в подтверждении соответствия принятых мер.</w:t>
      </w:r>
    </w:p>
    <w:p>
      <w:pPr>
        <w:ind w:firstLine="425"/>
      </w:pPr>
      <w:r>
        <w:t xml:space="preserve">20.8. Приостановка работ по вине заказчика продлевает сроки на соответствующий период; исполнитель уведомляет об этом письменно в течение трёх рабочих дней.</w:t>
      </w:r>
    </w:p>
    <w:p>
      <w:pPr>
        <w:pStyle w:val="ClauseHeading"/>
      </w:pPr>
      <w:r>
        <w:rPr>
          <w:b/>
        </w:rPr>
        <w:t xml:space="preserve">21. Порядок контроля и приёмки работ</w:t>
      </w:r>
    </w:p>
    <w:p>
      <w:pPr>
        <w:ind w:firstLine="425"/>
      </w:pPr>
      <w:r>
        <w:t xml:space="preserve">21.1. Контроль хода работ осуществляет ответственный за организацию обработки персональных данных совместно с администратором безопасности.</w:t>
      </w:r>
    </w:p>
    <w:p>
      <w:pPr>
        <w:ind w:firstLine="425"/>
      </w:pPr>
      <w:r>
        <w:t xml:space="preserve">21.2. Приёмка результата каждой стадии оформляется актом; выявленные замечания фиксируются в акте с указанием срока их устранения.</w:t>
      </w:r>
    </w:p>
    <w:p>
      <w:pPr>
        <w:ind w:firstLine="425"/>
      </w:pPr>
      <w:r>
        <w:t xml:space="preserve">21.3. Приёмка производится по программе и методике испытаний: по каждому требованию настоящего технического задания фиксируется результат проверки — выполнено или не выполнено.</w:t>
      </w:r>
    </w:p>
    <w:p>
      <w:pPr>
        <w:ind w:firstLine="425"/>
      </w:pPr>
      <w:r>
        <w:t xml:space="preserve">21.4. Работы считаются выполненными после устранения всех замечаний и подписания итогового акта сдачи-приёмки.</w:t>
      </w:r>
    </w:p>
    <w:p>
      <w:pPr>
        <w:ind w:firstLine="425"/>
      </w:pPr>
      <w:r>
        <w:t xml:space="preserve">21.5. Отказ от подписания акта оформляется мотивированным письменным отказом с перечнем недостатков; немотивированный отказ не приостанавливает течение срока оплаты.</w:t>
      </w:r>
    </w:p>
    <w:p>
      <w:pPr>
        <w:ind w:firstLine="425"/>
      </w:pPr>
      <w:r>
        <w:t xml:space="preserve">21.6. Форма подтверждения соответствия принятых мер: оценка эффективности принимаемых мер защиты.</w:t>
      </w:r>
    </w:p>
    <w:p>
      <w:pPr>
        <w:ind w:firstLine="425"/>
      </w:pPr>
      <w:r>
        <w:t xml:space="preserve">21.7. Результаты подтверждения соответствия оформляются документом, который хранится у оператора и предъявляется по запросу уполномоченного органа (ст. 19 152-ФЗ).</w:t>
      </w:r>
    </w:p>
    <w:p>
      <w:pPr>
        <w:pStyle w:val="ClauseHeading"/>
      </w:pPr>
      <w:r>
        <w:rPr>
          <w:b/>
        </w:rPr>
        <w:t xml:space="preserve">22. Оценка эффективности принимаемых мер защиты</w:t>
      </w:r>
    </w:p>
    <w:p>
      <w:pPr>
        <w:ind w:firstLine="425"/>
      </w:pPr>
      <w:r>
        <w:t xml:space="preserve">22.1. Оценка эффективности принимаемых мер по обеспечению безопасности персональных данных проводится оператором самостоятельно либо с привлечением организации, имеющей лицензию на деятельность по технической защите конфиденциальной информации.</w:t>
      </w:r>
    </w:p>
    <w:p>
      <w:pPr>
        <w:ind w:firstLine="425"/>
      </w:pPr>
      <w:r>
        <w:t xml:space="preserve">22.2. Оценка проводится до ввода информационной системы в эксплуатацию и в дальнейшем не реже одного раза в три года (ПП РФ 1119 —).</w:t>
      </w:r>
    </w:p>
    <w:p>
      <w:pPr>
        <w:ind w:firstLine="425"/>
      </w:pPr>
      <w:r>
        <w:t xml:space="preserve">22.3. При оценке проверяется соответствие фактически принятых мер составу мер, установленному для уровня защищённости УЗ-1, и актуальной модели угроз.</w:t>
      </w:r>
    </w:p>
    <w:p>
      <w:pPr>
        <w:ind w:firstLine="425"/>
      </w:pPr>
      <w:r>
        <w:t xml:space="preserve">22.4. Результаты оценки оформляются заключением с перечнем проверенных мер, выявленных несоответствий и сроков их устранения.</w:t>
      </w:r>
    </w:p>
    <w:p>
      <w:pPr>
        <w:ind w:firstLine="425"/>
      </w:pPr>
      <w:r>
        <w:t xml:space="preserve">22.5. Заключение об оценке эффективности хранится у оператора весь срок эксплуатации информационной системы и не менее трёх лет после вывода её из эксплуатации.</w:t>
      </w:r>
    </w:p>
    <w:p>
      <w:pPr>
        <w:ind w:firstLine="425"/>
      </w:pPr>
      <w:r>
        <w:t xml:space="preserve">22.6. Внеочередная оценка проводится при изменении состава обрабатываемых данных, структуры информационной системы, а также после инцидента с персональными данными.</w:t>
      </w:r>
    </w:p>
    <w:p>
      <w:pPr>
        <w:pStyle w:val="ClauseHeading"/>
      </w:pPr>
      <w:r>
        <w:rPr>
          <w:b/>
        </w:rPr>
        <w:t xml:space="preserve">23. Аттестация информационной системы по требованиям безопасности информации</w:t>
      </w:r>
    </w:p>
    <w:p>
      <w:pPr>
        <w:ind w:firstLine="425"/>
      </w:pPr>
      <w:r>
        <w:t xml:space="preserve">23.1. Аттестация информационной системы проводится организацией, имеющей лицензию на деятельность по технической защите конфиденциальной информации, по результатам аттестационных испытаний.</w:t>
      </w:r>
    </w:p>
    <w:p>
      <w:pPr>
        <w:ind w:firstLine="425"/>
      </w:pPr>
      <w:r>
        <w:t xml:space="preserve">23.2. Аттестационные испытания проводятся по программе и методике, согласованной с заказчиком, и охватывают все требования настоящего технического задания.</w:t>
      </w:r>
    </w:p>
    <w:p>
      <w:pPr>
        <w:ind w:firstLine="425"/>
      </w:pPr>
      <w:r>
        <w:t xml:space="preserve">23.3. По результатам испытаний оформляются протоколы испытаний, заключение по результатам аттестационных испытаний и аттестат соответствия.</w:t>
      </w:r>
    </w:p>
    <w:p>
      <w:pPr>
        <w:ind w:firstLine="425"/>
      </w:pPr>
      <w:r>
        <w:t xml:space="preserve">23.4. Аттестат соответствия выдаётся на информационную систему в границах, зафиксированных в техническом задании; изменение состава системы за этими границами делает аттестат недействующим.</w:t>
      </w:r>
    </w:p>
    <w:p>
      <w:pPr>
        <w:ind w:firstLine="425"/>
      </w:pPr>
      <w:r>
        <w:t xml:space="preserve">23.5. Заказчик обеспечивает неизменность условий, зафиксированных при аттестации, и проводит периодический контроль их соблюдения.</w:t>
      </w:r>
    </w:p>
    <w:p>
      <w:pPr>
        <w:ind w:firstLine="425"/>
      </w:pPr>
      <w:r>
        <w:t xml:space="preserve">23.6. Аттестат соответствия и материалы аттестационных испытаний хранятся у оператора весь срок эксплуатации информационной системы.</w:t>
      </w:r>
    </w:p>
    <w:p>
      <w:pPr>
        <w:pStyle w:val="ClauseHeading"/>
      </w:pPr>
      <w:r>
        <w:rPr>
          <w:b/>
        </w:rPr>
        <w:t xml:space="preserve">24. Сроки реализации</w:t>
      </w:r>
    </w:p>
    <w:p>
      <w:pPr>
        <w:ind w:firstLine="425"/>
      </w:pPr>
      <w:r>
        <w:t xml:space="preserve">24.1. Срок выполнения работ по настоящему техническому заданию составляет 6 месяцев со дня его утверждения, если договором с исполнителем не установлен иной срок.</w:t>
      </w:r>
    </w:p>
    <w:p>
      <w:pPr>
        <w:ind w:firstLine="425"/>
      </w:pPr>
      <w:r>
        <w:t xml:space="preserve">24.2. Промежуточные сроки по стадиям работ определяются календарным планом, являющимся приложением к договору с исполнителем.</w:t>
      </w:r>
    </w:p>
    <w:p>
      <w:pPr>
        <w:ind w:firstLine="425"/>
      </w:pPr>
      <w:r>
        <w:t xml:space="preserve">24.3. Отчёт о реализации требований настоящего технического задания представляется руководителю оператора ответственным за организацию обработки персональных данных.</w:t>
      </w:r>
    </w:p>
    <w:p>
      <w:pPr>
        <w:ind w:firstLine="425"/>
      </w:pPr>
      <w:r>
        <w:t xml:space="preserve">24.4. Ответственный за организацию обработки персональных данных ежеквартально информирует руководителя о ходе работ и о выявленных отклонениях от сроков.</w:t>
      </w:r>
    </w:p>
    <w:p>
      <w:pPr>
        <w:ind w:firstLine="425"/>
      </w:pPr>
      <w:r>
        <w:t xml:space="preserve">24.5. До завершения работ оператор применяет организационные меры защиты, компенсирующие отсутствие технических мер: ограничение доступа, учёт носителей и режим помещений (ст. 19 152-ФЗ).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Ведомость средств защиты информации</w:t>
      </w:r>
    </w:p>
    <w:p>
      <w:pPr>
        <w:ind w:firstLine="425"/>
      </w:pPr>
      <w:r>
        <w:t xml:space="preserve">Ведомость составляется исполнителем и передаётся заказчику при приёмке работ по созданию системы защиты персональных данных ООО «Ромашка».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151"/>
        <w:gridCol w:w="1726"/>
        <w:gridCol w:w="1583"/>
        <w:gridCol w:w="1870"/>
        <w:gridCol w:w="1583"/>
        <w:gridCol w:w="1295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Средство защиты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Изготовитель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сертификата</w:t>
            </w:r>
          </w:p>
        </w:tc>
        <w:tc>
          <w:tcPr>
            <w:tcW w:w="9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 сертификата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установлено</w:t>
            </w:r>
          </w:p>
        </w:tc>
        <w:tc>
          <w:tcPr>
            <w:tcW w:w="6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Лицензия и срок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Копии сертификатов соответствия и лицензий на все перечисленные средства защиты прилагаются к ведомости.</w:t>
      </w:r>
    </w:p>
    <w:p>
      <w:pPr>
        <w:ind w:firstLine="425"/>
      </w:pPr>
      <w:r>
        <w:t xml:space="preserve">Ведомость актуализируется при замене средств защиты, при продлении лицензий и при изменении состава информационных систем.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Ведомость выполнения требований технического задания</w:t>
      </w:r>
    </w:p>
    <w:p>
      <w:pPr>
        <w:ind w:firstLine="425"/>
      </w:pPr>
      <w:r>
        <w:t xml:space="preserve">Ведомость заполняется при приёмке работ по программе и методике испытаний: по каждому требованию технического задания фиксируется результат проверки.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1052"/>
        <w:gridCol w:w="1753"/>
        <w:gridCol w:w="1402"/>
        <w:gridCol w:w="1577"/>
        <w:gridCol w:w="1577"/>
        <w:gridCol w:w="175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Раздел ТЗ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проверки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Требование считается выполненным только при подтверждённом результате проверки; отметка «принято на доверии» не допускается.</w:t>
      </w:r>
    </w:p>
    <w:p>
      <w:pPr>
        <w:ind w:firstLine="425"/>
      </w:pPr>
      <w:r>
        <w:t xml:space="preserve">Ведомость подписывается представителями заказчика и исполнителя и прилагается к итоговому акту сдачи-приёмки работ.</w:t>
      </w:r>
    </w:p>
    <w:p>
      <w:pPr>
        <w:ind w:firstLine="425"/>
      </w:pPr>
      <w:r>
        <w:t xml:space="preserve">Замечания, не устранённые к дате подписания итогового акта, переносятся в отдельный перечень с указанием сроков и ответственных.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«Техническое задание на систему защиты ПДн (СЗПДн)» с сайта primadoc.ru. Документ, заполненный под вашу ситуацию, собирается в конструкторе: https://primadoc.ru/doc/tz-na-szpdn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Техническое задание на систему защиты ПДн (СЗПДн) — образец заполнения</dc:title>
  <dc:creator>Примадок</dc:creator>
  <dcterms:created xsi:type="dcterms:W3CDTF">2026-09-13T13:45:35Z</dcterms:created>
</cp:coreProperties>
</file>