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jc w:val="left"/>
      </w:pPr>
      <w:r>
        <w:t xml:space="preserve">г. Москва______Место заключения указывается сторонами, 01.02.2026</w:t>
      </w:r>
    </w:p>
    <w:p>
      <w:pPr>
        <w:jc w:val="left"/>
      </w:pPr>
      <w:r>
        <w:t xml:space="preserve">Иванов Иван Иванович, именуемый в дальнейшем «Работодатель», в лице генерального директора Петрова Петра Петровича, действующего на основании устава______уполномоченного представителя, с одной стороны, и Петров Пётр Петрович, гражданин: Республика Узбекистан, именуемый в дальнейшем «Работник», с другой стороны, совместно именуемые «Стороны», заключили настоящий трудовой договор № ТД-2026/14 о нижеследующем.</w:t>
      </w:r>
    </w:p>
    <w:p>
      <w:pPr>
        <w:jc w:val="left"/>
      </w:pPr>
      <w:r>
        <w:t xml:space="preserve">Работник является иностранным гражданином, правовой статус которого на дату заключения договора: временно пребывающий (патент).</w:t>
      </w:r>
    </w:p>
    <w:p>
      <w:pPr>
        <w:jc w:val="left"/>
      </w:pPr>
      <w:r>
        <w:t xml:space="preserve">На Работника распространяются нормы трудового законодательства Российской Федерации наравне с работниками — гражданами Российской Федерации, с особенностями, установленными для труда иностранных работников (ст. 327.1 ТК РФ).</w:t>
      </w:r>
    </w:p>
    <w:p>
      <w:pPr>
        <w:jc w:val="left"/>
      </w:pPr>
      <w:r>
        <w:t xml:space="preserve">Работнику вручён перевод настоящего договора на понятный ему язык. Стороны подтверждают, что содержание договора Работнику разъяснено.</w:t>
      </w:r>
    </w:p>
    <w:p>
      <w:pPr>
        <w:pStyle w:val="DocTitle"/>
      </w:pPr>
      <w:r>
        <w:t xml:space="preserve">Трудовой договор с иностранцем</w:t>
      </w:r>
    </w:p>
    <w:p>
      <w:pPr>
        <w:tabs>
          <w:tab w:val="right" w:pos="9639"/>
        </w:tabs>
        <w:spacing w:after="240"/>
      </w:pPr>
      <w:r>
        <w:t xml:space="preserve">г. Москва</w:t>
      </w:r>
      <w:r>
        <w:tab/>
        <w:t xml:space="preserve">«12» марта 2026 г.</w:t>
      </w:r>
    </w:p>
    <w:p>
      <w:pPr>
        <w:ind w:firstLine="425"/>
      </w:pPr>
      <w:r>
        <w:t xml:space="preserve">Иванов Иван Иванович, 05.06.1985 г.р., паспорт 4510 123456, выдан ГУ МВД России по г. Москве 20.07.2015, зарегистрирован(-а) по адресу: 127015, Москва, ул. Новодмитровская, д. 2, кв. 15, именуемый(-ая) в дальнейшем «Работодатель», а также Петров Пётр Петрович, 05.06.1985 г.р., паспорт 4510 123456, выдан ГУ МВД России по г. Москве 20.07.2015, зарегистрирован(-а) по адресу: 127015, Москва, ул. Новодмитровская, д. 2, кв. 15, именуемый(-ая) в дальнейшем «Работник», совместно именуемые «Стороны», заключили настоящий договор о нижеследующем:</w:t>
      </w:r>
    </w:p>
    <w:p>
      <w:pPr>
        <w:pStyle w:val="ClauseHeading"/>
      </w:pPr>
      <w:r>
        <w:rPr>
          <w:b/>
        </w:rPr>
        <w:t xml:space="preserve">1. Предмет договора</w:t>
      </w:r>
    </w:p>
    <w:p>
      <w:pPr>
        <w:ind w:firstLine="425"/>
      </w:pPr>
      <w:r>
        <w:t xml:space="preserve">1.1. Иванов Иван Иванович (Работодатель) принимает Петров Пётр Петрович (Работник) — иностранного гражданина, статус: временно пребывающий (патент) (патент серии 77 № 2300123456 от 14.03.2026, выдан ГУ МВД России по г. Москве, профессия по патенту — повар) — на должность: повар горячего цеха.</w:t>
      </w:r>
    </w:p>
    <w:p>
      <w:pPr>
        <w:ind w:firstLine="425"/>
      </w:pPr>
      <w:r>
        <w:t xml:space="preserve">1.2. Место работы: г. Москва, ул. Ленина, д. 1, кв. 1. Дата начала работы: 01.01.2026. Испытание: без испытания.</w:t>
      </w:r>
    </w:p>
    <w:p>
      <w:pPr>
        <w:ind w:firstLine="425"/>
      </w:pPr>
      <w:r>
        <w:t xml:space="preserve">1.3. Договор заключается на неопределённый срок; срочный договор — только по основаниям ст. 59 ТК РФ, само по себе иностранное гражданство таким основанием не является (ст. 327.1 ТК РФ).</w:t>
      </w:r>
    </w:p>
    <w:p>
      <w:pPr>
        <w:pStyle w:val="ClauseHeading"/>
      </w:pPr>
      <w:r>
        <w:rPr>
          <w:b/>
        </w:rPr>
        <w:t xml:space="preserve">2. Правовой статус: временно пребывающий по патенту</w:t>
      </w:r>
    </w:p>
    <w:p>
      <w:pPr>
        <w:ind w:firstLine="425"/>
      </w:pPr>
      <w:r>
        <w:t xml:space="preserve">2.1. Работник является иностранным гражданином, временно пребывающим в Российской Федерации, и осуществляет трудовую деятельность на основании патента (ст. 13.3 115-ФЗ).</w:t>
      </w:r>
    </w:p>
    <w:p>
      <w:pPr>
        <w:ind w:firstLine="425"/>
      </w:pPr>
      <w:r>
        <w:t xml:space="preserve">2.2. Реквизиты патента: патент серии 77 № 2300123456 от 14.03.2026, выдан ГУ МВД России по г. Москве, профессия по патенту — повар.</w:t>
      </w:r>
    </w:p>
    <w:p>
      <w:pPr>
        <w:ind w:firstLine="425"/>
      </w:pPr>
      <w:r>
        <w:t xml:space="preserve">2.3. Патент действует по 13.03.2027 включительно.</w:t>
      </w:r>
    </w:p>
    <w:p>
      <w:pPr>
        <w:ind w:firstLine="425"/>
      </w:pPr>
      <w:r>
        <w:t xml:space="preserve">2.4. Работник самостоятельно уплачивает фиксированные авансовые платежи по налогу на доходы физических лиц за весь период действия патента.</w:t>
      </w:r>
    </w:p>
    <w:p>
      <w:pPr>
        <w:ind w:firstLine="425"/>
      </w:pPr>
      <w:r>
        <w:t xml:space="preserve">2.5. Документы об уплате Работник представляет Работодателю по его требованию.</w:t>
      </w:r>
    </w:p>
    <w:p>
      <w:pPr>
        <w:ind w:firstLine="425"/>
      </w:pPr>
      <w:r>
        <w:t xml:space="preserve">2.6. Патент выдан для работы на территории субъекта Российской Федерации: г. Москва.</w:t>
      </w:r>
    </w:p>
    <w:p>
      <w:pPr>
        <w:ind w:firstLine="425"/>
      </w:pPr>
      <w:r>
        <w:t xml:space="preserve">2.7. Привлечение Работника к работе за пределами этого субъекта настоящим договором не допускается.</w:t>
      </w:r>
    </w:p>
    <w:p>
      <w:pPr>
        <w:ind w:firstLine="425"/>
      </w:pPr>
      <w:r>
        <w:t xml:space="preserve">2.8. В патенте указана профессия (специальность, должность, вид трудовой деятельности): повар.</w:t>
      </w:r>
    </w:p>
    <w:p>
      <w:pPr>
        <w:ind w:firstLine="425"/>
      </w:pPr>
      <w:r>
        <w:t xml:space="preserve">2.9. Трудовая функция Работника по настоящему договору соответствует указанной профессии.</w:t>
      </w:r>
    </w:p>
    <w:p>
      <w:pPr>
        <w:ind w:firstLine="425"/>
      </w:pPr>
      <w:r>
        <w:t xml:space="preserve">2.10. Работник обязан обратиться за переоформлением патента заблаговременно и представить Работодателю копию переоформленного документа не позднее трёх рабочих дней с даты его получения.</w:t>
      </w:r>
    </w:p>
    <w:p>
      <w:pPr>
        <w:ind w:firstLine="425"/>
      </w:pPr>
      <w:r>
        <w:t xml:space="preserve">2.11. Прекращение действия патента, в том числе вследствие неуплаты очередного фиксированного авансового платежа, является основанием для отстранения Работника от работы (ст. 327.5 ТК РФ).</w:t>
      </w:r>
    </w:p>
    <w:p>
      <w:pPr>
        <w:pStyle w:val="ClauseHeading"/>
      </w:pPr>
      <w:r>
        <w:rPr>
          <w:b/>
        </w:rPr>
        <w:t xml:space="preserve">3. Правовой статус: временно пребывающий по разрешению на работу</w:t>
      </w:r>
    </w:p>
    <w:p>
      <w:pPr>
        <w:ind w:firstLine="425"/>
      </w:pPr>
      <w:r>
        <w:t xml:space="preserve">3.1. Работник является иностранным гражданином, временно пребывающим в Российской Федерации, и осуществляет трудовую деятельность на основании разрешения на работу (ст. 13 115-ФЗ).</w:t>
      </w:r>
    </w:p>
    <w:p>
      <w:pPr>
        <w:ind w:firstLine="425"/>
      </w:pPr>
      <w:r>
        <w:t xml:space="preserve">3.2. Реквизиты разрешения на работу: патент серии 77 № 2300123456 от 14.03.2026, выдан ГУ МВД России по г. Москве, профессия по патенту — повар.</w:t>
      </w:r>
    </w:p>
    <w:p>
      <w:pPr>
        <w:ind w:firstLine="425"/>
      </w:pPr>
      <w:r>
        <w:t xml:space="preserve">3.3. Разрешение на работу действует по 13.03.2027 включительно.</w:t>
      </w:r>
    </w:p>
    <w:p>
      <w:pPr>
        <w:ind w:firstLine="425"/>
      </w:pPr>
      <w:r>
        <w:t xml:space="preserve">3.4. Работодатель подтверждает, что привлечение Работника осуществляется при наличии разрешения на привлечение и использование иностранных работников, если получение такого разрешения обязательно для соответствующей категории.</w:t>
      </w:r>
    </w:p>
    <w:p>
      <w:pPr>
        <w:ind w:firstLine="425"/>
      </w:pPr>
      <w:r>
        <w:t xml:space="preserve">3.5. Разрешение на работу действует на территории субъекта Российской Федерации: г. Москва.</w:t>
      </w:r>
    </w:p>
    <w:p>
      <w:pPr>
        <w:ind w:firstLine="425"/>
      </w:pPr>
      <w:r>
        <w:t xml:space="preserve">3.6. Направление Работника на работу за пределы этой территории допускается только в случаях и в пределах сроков, установленных законом для служебных поездок.</w:t>
      </w:r>
    </w:p>
    <w:p>
      <w:pPr>
        <w:ind w:firstLine="425"/>
      </w:pPr>
      <w:r>
        <w:t xml:space="preserve">3.7. Профессия (специальность, должность), указанная в разрешении на работу: повар.</w:t>
      </w:r>
    </w:p>
    <w:p>
      <w:pPr>
        <w:ind w:firstLine="425"/>
      </w:pPr>
      <w:r>
        <w:t xml:space="preserve">3.8. Трудовая функция Работника соответствует указанной профессии.</w:t>
      </w:r>
    </w:p>
    <w:p>
      <w:pPr>
        <w:ind w:firstLine="425"/>
      </w:pPr>
      <w:r>
        <w:t xml:space="preserve">3.9. Об изменении сведений, содержащихся в разрешении на работу, а также о его переоформлении Работник извещает Работодателя не позднее трёх рабочих дней с даты соответствующего события.</w:t>
      </w:r>
    </w:p>
    <w:p>
      <w:pPr>
        <w:ind w:firstLine="425"/>
      </w:pPr>
      <w:r>
        <w:t xml:space="preserve">3.10. Окончание срока действия разрешения на работу влечёт отстранение Работника от работы (ст. 327.5 ТК РФ).</w:t>
      </w:r>
    </w:p>
    <w:p>
      <w:pPr>
        <w:pStyle w:val="ClauseHeading"/>
      </w:pPr>
      <w:r>
        <w:rPr>
          <w:b/>
        </w:rPr>
        <w:t xml:space="preserve">4. Правовой статус: высококвалифицированный специалист</w:t>
      </w:r>
    </w:p>
    <w:p>
      <w:pPr>
        <w:ind w:firstLine="425"/>
      </w:pPr>
      <w:r>
        <w:t xml:space="preserve">4.1. Работник привлекается в качестве высококвалифицированного специалиста на основании разрешения на работу, выданного Работодателю для привлечения такого специалиста (ст. 13 115-ФЗ).</w:t>
      </w:r>
    </w:p>
    <w:p>
      <w:pPr>
        <w:ind w:firstLine="425"/>
      </w:pPr>
      <w:r>
        <w:t xml:space="preserve">4.2. Реквизиты разрешения на работу высококвалифицированного специалиста: патент серии 77 № 2300123456 от 14.03.2026, выдан ГУ МВД России по г. Москве, профессия по патенту — повар.</w:t>
      </w:r>
    </w:p>
    <w:p>
      <w:pPr>
        <w:ind w:firstLine="425"/>
      </w:pPr>
      <w:r>
        <w:t xml:space="preserve">4.3. Разрешение на работу действует по 13.03.2027 включительно и переоформляется Работодателем в установленном порядке.</w:t>
      </w:r>
    </w:p>
    <w:p>
      <w:pPr>
        <w:ind w:firstLine="425"/>
      </w:pPr>
      <w:r>
        <w:t xml:space="preserve">4.4. Условием сохранения статуса высококвалифицированного специалиста является выплата заработной платы в размере не менее 250 000 в месяц.</w:t>
      </w:r>
    </w:p>
    <w:p>
      <w:pPr>
        <w:ind w:firstLine="425"/>
      </w:pPr>
      <w:r>
        <w:t xml:space="preserve">4.5. Работодатель обеспечивает выплату заработной платы в указанном размере в течение всего срока действия разрешения на работу.</w:t>
      </w:r>
    </w:p>
    <w:p>
      <w:pPr>
        <w:ind w:firstLine="425"/>
      </w:pPr>
      <w:r>
        <w:t xml:space="preserve">4.6. Работодатель ежеквартально уведомляет территориальный орган в сфере внутренних дел об исполнении обязательств по выплате заработной платы высококвалифицированному специалисту.</w:t>
      </w:r>
    </w:p>
    <w:p>
      <w:pPr>
        <w:ind w:firstLine="425"/>
      </w:pPr>
      <w:r>
        <w:t xml:space="preserve">4.7. Неисполнение этой обязанности является самостоятельным нарушением и не заменяется уведомлением о заключении договора.</w:t>
      </w:r>
    </w:p>
    <w:p>
      <w:pPr>
        <w:ind w:firstLine="425"/>
      </w:pPr>
      <w:r>
        <w:t xml:space="preserve">4.8. Трудовая деятельность осуществляется на территории субъектов Российской Федерации, указанных в разрешении на работу: г. Москва.</w:t>
      </w:r>
    </w:p>
    <w:p>
      <w:pPr>
        <w:ind w:firstLine="425"/>
      </w:pPr>
      <w:r>
        <w:t xml:space="preserve">4.9. Квалификация Работника подтверждается документом об образовании и опыте работы: диплом бакалавра, выдан Ташкентским государственным университетом в 2019 году, признаётся в РФ в силу международного договора.</w:t>
      </w:r>
    </w:p>
    <w:p>
      <w:pPr>
        <w:ind w:firstLine="425"/>
      </w:pPr>
      <w:r>
        <w:t xml:space="preserve">4.10. Работодатель обеспечивает получение Работником и членами его семьи, находящимися в Российской Федерации, медицинской помощи в течение всего срока действия договора.</w:t>
      </w:r>
    </w:p>
    <w:p>
      <w:pPr>
        <w:pStyle w:val="ClauseHeading"/>
      </w:pPr>
      <w:r>
        <w:rPr>
          <w:b/>
        </w:rPr>
        <w:t xml:space="preserve">5. Правовой статус: временно проживающий по разрешению на временное проживание</w:t>
      </w:r>
    </w:p>
    <w:p>
      <w:pPr>
        <w:ind w:firstLine="425"/>
      </w:pPr>
      <w:r>
        <w:t xml:space="preserve">5.1. Работник является иностранным гражданином, временно проживающим в Российской Федерации на основании разрешения на временное проживание.</w:t>
      </w:r>
    </w:p>
    <w:p>
      <w:pPr>
        <w:ind w:firstLine="425"/>
      </w:pPr>
      <w:r>
        <w:t xml:space="preserve">5.2. Реквизиты разрешения на временное проживание: патент серии 77 № 2300123456 от 14.03.2026, выдан ГУ МВД России по г. Москве, профессия по патенту — повар.</w:t>
      </w:r>
    </w:p>
    <w:p>
      <w:pPr>
        <w:ind w:firstLine="425"/>
      </w:pPr>
      <w:r>
        <w:t xml:space="preserve">5.3. Разрешение на временное проживание действует по 13.03.2027 включительно.</w:t>
      </w:r>
    </w:p>
    <w:p>
      <w:pPr>
        <w:ind w:firstLine="425"/>
      </w:pPr>
      <w:r>
        <w:t xml:space="preserve">5.4. Для осуществления трудовой деятельности Работнику не требуются патент и разрешение на работу.</w:t>
      </w:r>
    </w:p>
    <w:p>
      <w:pPr>
        <w:ind w:firstLine="425"/>
      </w:pPr>
      <w:r>
        <w:t xml:space="preserve">5.5. Работник вправе осуществлять трудовую деятельность в пределах субъекта Российской Федерации, в котором ему разрешено временное проживание: г. Москва.</w:t>
      </w:r>
    </w:p>
    <w:p>
      <w:pPr>
        <w:ind w:firstLine="425"/>
      </w:pPr>
      <w:r>
        <w:t xml:space="preserve">5.6. Работа за пределами этого субъекта допускается только в случаях, прямо предусмотренных законом.</w:t>
      </w:r>
    </w:p>
    <w:p>
      <w:pPr>
        <w:ind w:firstLine="425"/>
      </w:pPr>
      <w:r>
        <w:t xml:space="preserve">5.7. Работник подлежит обязательному медицинскому страхованию и обеспечивается полисом обязательного медицинского страхования в общем порядке.</w:t>
      </w:r>
    </w:p>
    <w:p>
      <w:pPr>
        <w:ind w:firstLine="425"/>
      </w:pPr>
      <w:r>
        <w:t xml:space="preserve">5.8. Не позднее чем за два месяца до истечения срока действия разрешения на временное проживание Работник обращается за получением вида на жительство либо за продлением срока проживания и извещает об этом Работодателя.</w:t>
      </w:r>
    </w:p>
    <w:p>
      <w:pPr>
        <w:ind w:firstLine="425"/>
      </w:pPr>
      <w:r>
        <w:t xml:space="preserve">5.9. Аннулирование или окончание срока действия разрешения на временное проживание влечёт отстранение Работника от работы (ст. 327.5 ТК РФ).</w:t>
      </w:r>
    </w:p>
    <w:p>
      <w:pPr>
        <w:pStyle w:val="ClauseHeading"/>
      </w:pPr>
      <w:r>
        <w:rPr>
          <w:b/>
        </w:rPr>
        <w:t xml:space="preserve">6. Правовой статус: постоянно проживающий по виду на жительство</w:t>
      </w:r>
    </w:p>
    <w:p>
      <w:pPr>
        <w:ind w:firstLine="425"/>
      </w:pPr>
      <w:r>
        <w:t xml:space="preserve">6.1. Работник является иностранным гражданином, постоянно проживающим в Российской Федерации на основании вида на жительство.</w:t>
      </w:r>
    </w:p>
    <w:p>
      <w:pPr>
        <w:ind w:firstLine="425"/>
      </w:pPr>
      <w:r>
        <w:t xml:space="preserve">6.2. Реквизиты вида на жительство: патент серии 77 № 2300123456 от 14.03.2026, выдан ГУ МВД России по г. Москве, профессия по патенту — повар.</w:t>
      </w:r>
    </w:p>
    <w:p>
      <w:pPr>
        <w:ind w:firstLine="425"/>
      </w:pPr>
      <w:r>
        <w:t xml:space="preserve">6.3. Для осуществления трудовой деятельности Работнику не требуются патент и разрешение на работу.</w:t>
      </w:r>
    </w:p>
    <w:p>
      <w:pPr>
        <w:ind w:firstLine="425"/>
      </w:pPr>
      <w:r>
        <w:t xml:space="preserve">6.4. Работник вправе работать на всей территории Российской Федерации без территориальных ограничений.</w:t>
      </w:r>
    </w:p>
    <w:p>
      <w:pPr>
        <w:ind w:firstLine="425"/>
      </w:pPr>
      <w:r>
        <w:t xml:space="preserve">6.5. Вид на жительство действует по 13.03.2027 включительно.</w:t>
      </w:r>
    </w:p>
    <w:p>
      <w:pPr>
        <w:ind w:firstLine="425"/>
      </w:pPr>
      <w:r>
        <w:t xml:space="preserve">6.6. Если вид на жительство выдан бессрочно, срок в настоящем пункте не применяется.</w:t>
      </w:r>
    </w:p>
    <w:p>
      <w:pPr>
        <w:ind w:firstLine="425"/>
      </w:pPr>
      <w:r>
        <w:t xml:space="preserve">6.7. Работник подлежит обязательному медицинскому страхованию и всем видам обязательного социального страхования наравне с гражданами Российской Федерации.</w:t>
      </w:r>
    </w:p>
    <w:p>
      <w:pPr>
        <w:ind w:firstLine="425"/>
      </w:pPr>
      <w:r>
        <w:t xml:space="preserve">6.8. Отдельный договор добровольного медицинского страхования для допуска к работе не требуется.</w:t>
      </w:r>
    </w:p>
    <w:p>
      <w:pPr>
        <w:ind w:firstLine="425"/>
      </w:pPr>
      <w:r>
        <w:t xml:space="preserve">6.9. Работник обязан ежегодно подтверждать проживание в Российской Федерации в установленном законом порядке.</w:t>
      </w:r>
    </w:p>
    <w:p>
      <w:pPr>
        <w:ind w:firstLine="425"/>
      </w:pPr>
      <w:r>
        <w:t xml:space="preserve">6.10. Неисполнение этой обязанности может повлечь аннулирование вида на жительство.</w:t>
      </w:r>
    </w:p>
    <w:p>
      <w:pPr>
        <w:ind w:firstLine="425"/>
      </w:pPr>
      <w:r>
        <w:t xml:space="preserve">6.11. Аннулирование вида на жительство является основанием для отстранения Работника от работы (ст. 327.5 ТК РФ).</w:t>
      </w:r>
    </w:p>
    <w:p>
      <w:pPr>
        <w:ind w:firstLine="425"/>
      </w:pPr>
      <w:r>
        <w:t xml:space="preserve">6.12. Обязанность Работодателя уведомить орган в сфере внутренних дел о заключении и о прекращении настоящего договора сохраняется и в отношении постоянно проживающего иностранного гражданина.</w:t>
      </w:r>
    </w:p>
    <w:p>
      <w:pPr>
        <w:pStyle w:val="ClauseHeading"/>
      </w:pPr>
      <w:r>
        <w:rPr>
          <w:b/>
        </w:rPr>
        <w:t xml:space="preserve">7. Правовой статус: гражданин государства — члена ЕАЭС</w:t>
      </w:r>
    </w:p>
    <w:p>
      <w:pPr>
        <w:ind w:firstLine="425"/>
      </w:pPr>
      <w:r>
        <w:t xml:space="preserve">7.1. Работник является гражданином государства — члена Евразийского экономического союза.</w:t>
      </w:r>
    </w:p>
    <w:p>
      <w:pPr>
        <w:ind w:firstLine="425"/>
      </w:pPr>
      <w:r>
        <w:t xml:space="preserve">7.2. Трудовая деятельность граждан государств — членов Союза осуществляется без получения патента и разрешения на работу в силу международного договора Российской Федерации.</w:t>
      </w:r>
    </w:p>
    <w:p>
      <w:pPr>
        <w:ind w:firstLine="425"/>
      </w:pPr>
      <w:r>
        <w:t xml:space="preserve">7.3. Государство гражданства Работника: Республика Узбекистан.</w:t>
      </w:r>
    </w:p>
    <w:p>
      <w:pPr>
        <w:ind w:firstLine="425"/>
      </w:pPr>
      <w:r>
        <w:t xml:space="preserve">7.4. Документы об образовании, выданные в государстве — члене Союза, признаются в Российской Федерации без прохождения процедуры признания, кроме случаев, прямо установленных международным договором для отдельных видов деятельности.</w:t>
      </w:r>
    </w:p>
    <w:p>
      <w:pPr>
        <w:ind w:firstLine="425"/>
      </w:pPr>
      <w:r>
        <w:t xml:space="preserve">7.5. Документ об образовании Работника: диплом бакалавра, выдан Ташкентским государственным университетом в 2019 году, признаётся в РФ в силу международного договора.</w:t>
      </w:r>
    </w:p>
    <w:p>
      <w:pPr>
        <w:ind w:firstLine="425"/>
      </w:pPr>
      <w:r>
        <w:t xml:space="preserve">7.6. Работник и следующие вместе с ним члены семьи подлежат обязательному медицинскому страхованию и социальному обеспечению наравне с гражданами Российской Федерации.</w:t>
      </w:r>
    </w:p>
    <w:p>
      <w:pPr>
        <w:ind w:firstLine="425"/>
      </w:pPr>
      <w:r>
        <w:t xml:space="preserve">7.7. Полис добровольного медицинского страхования для допуска Работника к работе не требуется.</w:t>
      </w:r>
    </w:p>
    <w:p>
      <w:pPr>
        <w:ind w:firstLine="425"/>
      </w:pPr>
      <w:r>
        <w:t xml:space="preserve">7.8. Территориальных ограничений для осуществления трудовой деятельности по настоящему договору не устанавливается.</w:t>
      </w:r>
    </w:p>
    <w:p>
      <w:pPr>
        <w:ind w:firstLine="425"/>
      </w:pPr>
      <w:r>
        <w:t xml:space="preserve">7.9. Заключение настоящего договора является основанием для продления срока временного пребывания Работника и членов его семьи в Российской Федерации на срок действия договора.</w:t>
      </w:r>
    </w:p>
    <w:p>
      <w:pPr>
        <w:ind w:firstLine="425"/>
      </w:pPr>
      <w:r>
        <w:t xml:space="preserve">7.10. Обязанность Работодателя уведомить орган в сфере внутренних дел о заключении и о прекращении настоящего договора в трёхдневный срок сохраняется в полном объёме.</w:t>
      </w:r>
    </w:p>
    <w:p>
      <w:pPr>
        <w:pStyle w:val="ClauseHeading"/>
      </w:pPr>
      <w:r>
        <w:rPr>
          <w:b/>
        </w:rPr>
        <w:t xml:space="preserve">8. Особые сведения и условия</w:t>
      </w:r>
    </w:p>
    <w:p>
      <w:pPr>
        <w:ind w:firstLine="425"/>
      </w:pPr>
      <w:r>
        <w:t xml:space="preserve">8.1. В договор включаются сведения (ст. 327.2 ТК РФ): о патенте/разрешении на работу — для временно пребывающих; о РВП/ВНЖ — для проживающих; об условиях оказания медицинской помощи: полис ДМС № ДМС-123456 от 14.03.2026, срок действия — по 13.03.2027. Работа допускается только в субъекте РФ, указанном в патенте; должность — в соответствии с указанной в патенте профессией (при её наличии в патенте).</w:t>
      </w:r>
    </w:p>
    <w:p>
      <w:pPr>
        <w:pStyle w:val="ClauseHeading"/>
      </w:pPr>
      <w:r>
        <w:rPr>
          <w:b/>
        </w:rPr>
        <w:t xml:space="preserve">9. Документы, предъявленные при заключении договора</w:t>
      </w:r>
    </w:p>
    <w:p>
      <w:pPr>
        <w:ind w:firstLine="425"/>
      </w:pPr>
      <w:r>
        <w:t xml:space="preserve">9.1. При заключении настоящего договора Работник предъявил Работодателю документ, удостоверяющий личность иностранного гражданина, и документы, подтверждающие право на осуществление трудовой деятельности в Российской Федерации (ст. 327.3 ТК РФ).</w:t>
      </w:r>
    </w:p>
    <w:p>
      <w:pPr>
        <w:ind w:firstLine="425"/>
      </w:pPr>
      <w:r>
        <w:t xml:space="preserve">9.2. Трудовая книжка иностранного государства не является трудовой книжкой установленного в Российской Федерации образца.</w:t>
      </w:r>
    </w:p>
    <w:p>
      <w:pPr>
        <w:ind w:firstLine="425"/>
      </w:pPr>
      <w:r>
        <w:t xml:space="preserve">9.3. Сведения о трудовой деятельности Работника формируются Работодателем в электронном виде (ст. 66.1 ТК РФ).</w:t>
      </w:r>
    </w:p>
    <w:p>
      <w:pPr>
        <w:ind w:firstLine="425"/>
      </w:pPr>
      <w:r>
        <w:t xml:space="preserve">9.4. Документ воинского учёта Работником не предъявляется: иностранные граждане воинскому учёту в Российской Федерации не подлежат.</w:t>
      </w:r>
    </w:p>
    <w:p>
      <w:pPr>
        <w:ind w:firstLine="425"/>
      </w:pPr>
      <w:r>
        <w:t xml:space="preserve">9.5. Документ об образовании и (или) квалификации: диплом бакалавра, выдан Ташкентским государственным университетом в 2019 году, признаётся в РФ в силу международного договора.</w:t>
      </w:r>
    </w:p>
    <w:p>
      <w:pPr>
        <w:ind w:firstLine="425"/>
      </w:pPr>
      <w:r>
        <w:t xml:space="preserve">9.6. Страховое свидетельство обязательного пенсионного страхования оформляется Работодателем, если Работник ранее не был зарегистрирован в системе индивидуального (персонифицированного) учёта (ст. 65 ТК РФ).</w:t>
      </w:r>
    </w:p>
    <w:p>
      <w:pPr>
        <w:ind w:firstLine="425"/>
      </w:pPr>
      <w:r>
        <w:t xml:space="preserve">9.7. Документы, составленные на иностранном языке, представляются с нотариально удостоверенным переводом на русский язык.</w:t>
      </w:r>
    </w:p>
    <w:p>
      <w:pPr>
        <w:ind w:firstLine="425"/>
      </w:pPr>
      <w:r>
        <w:t xml:space="preserve">9.8. Работник несёт ответственность за достоверность представленных сведений и документов.</w:t>
      </w:r>
    </w:p>
    <w:p>
      <w:pPr>
        <w:ind w:firstLine="425"/>
      </w:pPr>
      <w:r>
        <w:t xml:space="preserve">9.9. Представление подложных документов является основанием для прекращения трудового договора в установленном законом порядке.</w:t>
      </w:r>
    </w:p>
    <w:p>
      <w:pPr>
        <w:pStyle w:val="ClauseHeading"/>
      </w:pPr>
      <w:r>
        <w:rPr>
          <w:b/>
        </w:rPr>
        <w:t xml:space="preserve">10. Условия оказания медицинской помощи</w:t>
      </w:r>
    </w:p>
    <w:p>
      <w:pPr>
        <w:ind w:firstLine="425"/>
      </w:pPr>
      <w:r>
        <w:t xml:space="preserve">10.1. Условия оказания Работнику медицинской помощи в период действия настоящего договора являются обязательным условием договора для иностранного работника (ст. 327.2 ТК РФ).</w:t>
      </w:r>
    </w:p>
    <w:p>
      <w:pPr>
        <w:ind w:firstLine="425"/>
      </w:pPr>
      <w:r>
        <w:t xml:space="preserve">10.2. Сведения о договоре (полисе) добровольного медицинского страхования либо о заключённом Работодателем договоре о предоставлении Работнику платных медицинских услуг: полис ДМС № ДМС-123456 от 14.03.2026, срок действия — по 13.03.2027.</w:t>
      </w:r>
    </w:p>
    <w:p>
      <w:pPr>
        <w:ind w:firstLine="425"/>
      </w:pPr>
      <w:r>
        <w:t xml:space="preserve">10.3. Указанный договор (полис) действует по 13.03.2027 включительно.</w:t>
      </w:r>
    </w:p>
    <w:p>
      <w:pPr>
        <w:ind w:firstLine="425"/>
      </w:pPr>
      <w:r>
        <w:t xml:space="preserve">10.4. Договор (полис) должен обеспечивать оказание Работнику первичной медико-санитарной и неотложной медицинской помощи в течение всего срока действия трудового договора.</w:t>
      </w:r>
    </w:p>
    <w:p>
      <w:pPr>
        <w:ind w:firstLine="425"/>
      </w:pPr>
      <w:r>
        <w:t xml:space="preserve">10.5. Работник обязан представить Работодателю документ о продлении или замене договора (полиса) не позднее дня окончания срока действия предыдущего.</w:t>
      </w:r>
    </w:p>
    <w:p>
      <w:pPr>
        <w:ind w:firstLine="425"/>
      </w:pPr>
      <w:r>
        <w:t xml:space="preserve">10.6. Окончание срока действия договора (полиса) добровольного медицинского страхования, если Работник не подлежит обязательному медицинскому страхованию, влечёт отстранение Работника от работы (ст. 327.5 ТК РФ).</w:t>
      </w:r>
    </w:p>
    <w:p>
      <w:pPr>
        <w:ind w:firstLine="425"/>
      </w:pPr>
      <w:r>
        <w:t xml:space="preserve">10.7. Работник, подлежащий обязательному медицинскому страхованию, обеспечивается полисом обязательного медицинского страхования, и требование настоящего пункта о полисе добровольного медицинского страхования к нему не применяется.</w:t>
      </w:r>
    </w:p>
    <w:p>
      <w:pPr>
        <w:pStyle w:val="ClauseHeading"/>
      </w:pPr>
      <w:r>
        <w:rPr>
          <w:b/>
        </w:rPr>
        <w:t xml:space="preserve">11. Место работы и территория трудовой деятельности</w:t>
      </w:r>
    </w:p>
    <w:p>
      <w:pPr>
        <w:ind w:firstLine="425"/>
      </w:pPr>
      <w:r>
        <w:t xml:space="preserve">11.1. Местом работы Работника является г. Москва, ул. Ленина, д. 1, кв. 1, структурное подразделение: горячий цех ресторана «Восток».</w:t>
      </w:r>
    </w:p>
    <w:p>
      <w:pPr>
        <w:ind w:firstLine="425"/>
      </w:pPr>
      <w:r>
        <w:t xml:space="preserve">11.2. Характер работы Работника: обычный.</w:t>
      </w:r>
    </w:p>
    <w:p>
      <w:pPr>
        <w:ind w:firstLine="425"/>
      </w:pPr>
      <w:r>
        <w:t xml:space="preserve">11.3. Трудовая деятельность осуществляется в пределах территории субъекта Российской Федерации: г. Москва.</w:t>
      </w:r>
    </w:p>
    <w:p>
      <w:pPr>
        <w:ind w:firstLine="425"/>
      </w:pPr>
      <w:r>
        <w:t xml:space="preserve">11.4. Изменение места работы с выходом за пределы указанной территории требует предварительного переоформления разрешительных документов Работника.</w:t>
      </w:r>
    </w:p>
    <w:p>
      <w:pPr>
        <w:ind w:firstLine="425"/>
      </w:pPr>
      <w:r>
        <w:t xml:space="preserve">11.5. Работодатель не вправе давать Работнику поручения, выполнение которых требует осуществления трудовой деятельности вне территории, на которой Работнику разрешено работать.</w:t>
      </w:r>
    </w:p>
    <w:p>
      <w:pPr>
        <w:ind w:firstLine="425"/>
      </w:pPr>
      <w:r>
        <w:t xml:space="preserve">11.6. Условия труда на рабочем месте по результатам специальной оценки условий труда: 1 — оптимальные.</w:t>
      </w:r>
    </w:p>
    <w:p>
      <w:pPr>
        <w:ind w:firstLine="425"/>
      </w:pPr>
      <w:r>
        <w:t xml:space="preserve">11.7. Трудовые обязанности Работника конкретизированы документом: должностная инструкция повара горячего цеха от 10.01.2026. С указанным документом Работник ознакомлен до подписания настоящего договора (ст. 68 ТК РФ).</w:t>
      </w:r>
    </w:p>
    <w:p>
      <w:pPr>
        <w:ind w:firstLine="425"/>
      </w:pPr>
      <w:r>
        <w:t xml:space="preserve">11.8. Направление Работника в служебную командировку допускается в пределах сроков и на условиях, установленных законодательством для соответствующей категории иностранных работников.</w:t>
      </w:r>
    </w:p>
    <w:p>
      <w:pPr>
        <w:pStyle w:val="ClauseHeading"/>
      </w:pPr>
      <w:r>
        <w:rPr>
          <w:b/>
        </w:rPr>
        <w:t xml:space="preserve">12. Порядок выплаты заработной платы</w:t>
      </w:r>
    </w:p>
    <w:p>
      <w:pPr>
        <w:ind w:firstLine="425"/>
      </w:pPr>
      <w:r>
        <w:t xml:space="preserve">12.1. Заработная плата выплачивается в следующие сроки: за первую половину месяца — 25-го числа, окончательный расчёт — 10-го числа следующего месяца.______Заработная плата выплачивается не реже чем каждые полмесяца, окончательный расчёт за отработанный месяц производится не позднее пятнадцати календарных дней со дня окончания периода, за который она начислена (ст. 136 ТК РФ).</w:t>
      </w:r>
    </w:p>
    <w:p>
      <w:pPr>
        <w:ind w:firstLine="425"/>
      </w:pPr>
      <w:r>
        <w:t xml:space="preserve">12.2. Выплата заработной платы производится в безналичном порядке путём перечисления на банковский счёт Работника, открытый в уполномоченном банке.</w:t>
      </w:r>
    </w:p>
    <w:p>
      <w:pPr>
        <w:ind w:firstLine="425"/>
      </w:pPr>
      <w:r>
        <w:t xml:space="preserve">12.3. Стороны исходят из того, что выплата заработной платы иностранному работнику, не являющемуся валютным резидентом Российской Федерации, наличными денежными средствами не допускается.</w:t>
      </w:r>
    </w:p>
    <w:p>
      <w:pPr>
        <w:ind w:firstLine="425"/>
      </w:pPr>
      <w:r>
        <w:t xml:space="preserve">12.4. Работнику устанавливаются доплаты, надбавки и стимулирующие выплаты: доплата за работу в ночное время — 20 процентов часовой ставки, надбавка за наставничество — 5 000 руб. в месяц.</w:t>
      </w:r>
    </w:p>
    <w:p>
      <w:pPr>
        <w:ind w:firstLine="425"/>
      </w:pPr>
      <w:r>
        <w:t xml:space="preserve">12.5. При выплате заработной платы Работодатель извещает Работника в письменной форме о составных частях заработной платы, размерах и основаниях удержаний и общей сумме, подлежащей выплате (ст. 136 ТК РФ).</w:t>
      </w:r>
    </w:p>
    <w:p>
      <w:pPr>
        <w:ind w:firstLine="425"/>
      </w:pPr>
      <w:r>
        <w:t xml:space="preserve">12.6. Заработная плата Работника при полной отработке нормы рабочего времени не может быть ниже минимального размера оплаты труда, установленного в субъекте Российской Федерации по месту работы (ст. 133.1 ТК РФ).</w:t>
      </w:r>
    </w:p>
    <w:p>
      <w:pPr>
        <w:ind w:firstLine="425"/>
      </w:pPr>
      <w:r>
        <w:t xml:space="preserve">12.7. Условия оплаты труда Работника не могут быть хуже условий, установленных для работников — граждан Российской Федерации, выполняющих аналогичную трудовую функцию (ст. 327.1 ТК РФ).</w:t>
      </w:r>
    </w:p>
    <w:p>
      <w:pPr>
        <w:ind w:firstLine="425"/>
      </w:pPr>
      <w:r>
        <w:t xml:space="preserve">12.8. Индексация заработной платы производится в порядке, установленном локальными нормативными актами Работодателя (ст. 134 ТК РФ).</w:t>
      </w:r>
    </w:p>
    <w:p>
      <w:pPr>
        <w:pStyle w:val="ClauseHeading"/>
      </w:pPr>
      <w:r>
        <w:rPr>
          <w:b/>
        </w:rPr>
        <w:t xml:space="preserve">13. Рабочее время и время отдыха</w:t>
      </w:r>
    </w:p>
    <w:p>
      <w:pPr>
        <w:ind w:firstLine="425"/>
      </w:pPr>
      <w:r>
        <w:t xml:space="preserve">13.1. Режим: 40-часовая неделя, пн–пт 9:00–18:00. Ежегодный оплачиваемый отпуск: 28 календарных дней; выезд в отпуск за пределы РФ не прекращает договор, но работник обязан обеспечить действительность документов для возвращения и работы.</w:t>
      </w:r>
    </w:p>
    <w:p>
      <w:pPr>
        <w:ind w:firstLine="425"/>
      </w:pPr>
      <w:r>
        <w:t xml:space="preserve">13.2. Сверхурочные, работа в выходные — на общих основаниях ТК РФ с повышенной оплатой.</w:t>
      </w:r>
    </w:p>
    <w:p>
      <w:pPr>
        <w:pStyle w:val="ClauseHeading"/>
      </w:pPr>
      <w:r>
        <w:rPr>
          <w:b/>
        </w:rPr>
        <w:t xml:space="preserve">14. Отпуска и гарантии</w:t>
      </w:r>
    </w:p>
    <w:p>
      <w:pPr>
        <w:ind w:firstLine="425"/>
      </w:pPr>
      <w:r>
        <w:t xml:space="preserve">14.1. Работнику предоставляется ежегодный основной оплачиваемый отпуск: 28 календарных дней (ст. 115 ТК РФ).</w:t>
      </w:r>
    </w:p>
    <w:p>
      <w:pPr>
        <w:ind w:firstLine="425"/>
      </w:pPr>
      <w:r>
        <w:t xml:space="preserve">14.2. Дополнительно Работнику предоставляется ежегодный дополнительный оплачиваемый отпуск продолжительностью 7 календарных дней.</w:t>
      </w:r>
    </w:p>
    <w:p>
      <w:pPr>
        <w:ind w:firstLine="425"/>
      </w:pPr>
      <w:r>
        <w:t xml:space="preserve">14.3. Право на использование отпуска за первый год работы возникает по истечении шести месяцев непрерывной работы у Работодателя, а по соглашению сторон — и до истечения этого срока (ст. 122 ТК РФ).</w:t>
      </w:r>
    </w:p>
    <w:p>
      <w:pPr>
        <w:ind w:firstLine="425"/>
      </w:pPr>
      <w:r>
        <w:t xml:space="preserve">14.4. Отпуск без сохранения заработной платы предоставляется по письменному заявлению Работника в случаях и на срок, установленных законом или соглашением сторон (ст. 128 ТК РФ).</w:t>
      </w:r>
    </w:p>
    <w:p>
      <w:pPr>
        <w:ind w:firstLine="425"/>
      </w:pPr>
      <w:r>
        <w:t xml:space="preserve">14.5. Выезд Работника за пределы Российской Федерации в период отпуска не прекращает и не приостанавливает действие настоящего договора.</w:t>
      </w:r>
    </w:p>
    <w:p>
      <w:pPr>
        <w:ind w:firstLine="425"/>
      </w:pPr>
      <w:r>
        <w:t xml:space="preserve">14.6. Работник обеспечивает действительность документов, необходимых для въезда и продолжения работы.</w:t>
      </w:r>
    </w:p>
    <w:p>
      <w:pPr>
        <w:ind w:firstLine="425"/>
      </w:pPr>
      <w:r>
        <w:t xml:space="preserve">14.7. Работнику предоставляются гарантии и компенсации, предусмотренные трудовым законодательством, в том числе при направлении в служебные командировки, на медицинский осмотр и на профессиональное обучение (ст. 187 ТК РФ).</w:t>
      </w:r>
    </w:p>
    <w:p>
      <w:pPr>
        <w:ind w:firstLine="425"/>
      </w:pPr>
      <w:r>
        <w:t xml:space="preserve">14.8. Работник подлежит обязательному социальному страхованию от несчастных случаев на производстве и профессиональных заболеваний независимо от правового статуса.</w:t>
      </w:r>
    </w:p>
    <w:p>
      <w:pPr>
        <w:pStyle w:val="ClauseHeading"/>
      </w:pPr>
      <w:r>
        <w:rPr>
          <w:b/>
        </w:rPr>
        <w:t xml:space="preserve">15. Права и обязанности сторон</w:t>
      </w:r>
    </w:p>
    <w:p>
      <w:pPr>
        <w:ind w:firstLine="425"/>
      </w:pPr>
      <w:r>
        <w:t xml:space="preserve">15.1. Работник обязан: поддерживать действительность патента/разрешения и полиса ДМС, представлять работодателю копии продлённых документов не позднее 3 рабочих дней; уведомлять об изменении миграционного статуса и адреса постановки на учёт.</w:t>
      </w:r>
    </w:p>
    <w:p>
      <w:pPr>
        <w:ind w:firstLine="425"/>
      </w:pPr>
      <w:r>
        <w:t xml:space="preserve">15.2. Работодатель обязан: обеспечивать условия труда наравне с гражданами РФ; вести миграционный учёт в установленных случаях; уведомлять МВД о заключении и прекращении договора в течение 3 рабочих дней.</w:t>
      </w:r>
    </w:p>
    <w:p>
      <w:pPr>
        <w:pStyle w:val="ClauseHeading"/>
      </w:pPr>
      <w:r>
        <w:rPr>
          <w:b/>
        </w:rPr>
        <w:t xml:space="preserve">16. Обязанности Работодателя</w:t>
      </w:r>
    </w:p>
    <w:p>
      <w:pPr>
        <w:ind w:firstLine="425"/>
      </w:pPr>
      <w:r>
        <w:t xml:space="preserve">16.1. Работодатель обязуется предоставить Работнику работу по обусловленной трудовой функции и обеспечить условия труда, предусмотренные трудовым законодательством и настоящим договором (ст. 22 ТК РФ).</w:t>
      </w:r>
    </w:p>
    <w:p>
      <w:pPr>
        <w:ind w:firstLine="425"/>
      </w:pPr>
      <w:r>
        <w:t xml:space="preserve">16.2. Работодатель обязуется выплачивать заработную плату в полном размере и в установленные сроки, а также обеспечивать безопасность и условия труда, соответствующие государственным нормативным требованиям охраны труда (ст. 214 ТК РФ).</w:t>
      </w:r>
    </w:p>
    <w:p>
      <w:pPr>
        <w:ind w:firstLine="425"/>
      </w:pPr>
      <w:r>
        <w:t xml:space="preserve">16.3. Работодатель обязуется знакомить Работника под подпись с локальными нормативными актами, непосредственно связанными с его трудовой деятельностью, до подписания настоящего договора (ст. 68 ТК РФ).</w:t>
      </w:r>
    </w:p>
    <w:p>
      <w:pPr>
        <w:ind w:firstLine="425"/>
      </w:pPr>
      <w:r>
        <w:t xml:space="preserve">16.4. Работодатель обязуется своевременно направлять уведомления о заключении и о прекращении настоящего договора в орган внутренних дел и хранить подтверждающие документы.</w:t>
      </w:r>
    </w:p>
    <w:p>
      <w:pPr>
        <w:ind w:firstLine="425"/>
      </w:pPr>
      <w:r>
        <w:t xml:space="preserve">16.5. Работодатель обязуется вести учёт сроков действия разрешительных документов Работника и заблаговременно, не позднее чем за тридцать календарных дней до истечения срока, письменно напоминать Работнику о необходимости их переоформления.</w:t>
      </w:r>
    </w:p>
    <w:p>
      <w:pPr>
        <w:ind w:firstLine="425"/>
      </w:pPr>
      <w:r>
        <w:t xml:space="preserve">16.6. Работодатель обязуется не допускать дискриминации Работника по признаку гражданства, национальности и языка и обеспечивать равную с работниками — гражданами Российской Федерации оплату за труд равной ценности (ст. 3 ТК РФ).</w:t>
      </w:r>
    </w:p>
    <w:p>
      <w:pPr>
        <w:ind w:firstLine="425"/>
      </w:pPr>
      <w:r>
        <w:t xml:space="preserve">16.7. Работодатель обязуется выдавать Работнику по его письменному заявлению копии документов, связанных с работой, не позднее трёх рабочих дней со дня подачи заявления (ст. 62 ТК РФ).</w:t>
      </w:r>
    </w:p>
    <w:p>
      <w:pPr>
        <w:pStyle w:val="ClauseHeading"/>
      </w:pPr>
      <w:r>
        <w:rPr>
          <w:b/>
        </w:rPr>
        <w:t xml:space="preserve">17. Обязанности Работника</w:t>
      </w:r>
    </w:p>
    <w:p>
      <w:pPr>
        <w:ind w:firstLine="425"/>
      </w:pPr>
      <w:r>
        <w:t xml:space="preserve">17.1. Работник обязуется добросовестно исполнять трудовые обязанности, соблюдать правила внутреннего трудового распорядка и требования по охране труда (ст. 21 ТК РФ).</w:t>
      </w:r>
    </w:p>
    <w:p>
      <w:pPr>
        <w:ind w:firstLine="425"/>
      </w:pPr>
      <w:r>
        <w:t xml:space="preserve">17.2. Работник обязуется поддерживать действительность документов, дающих ему право на пребывание (проживание) в Российской Федерации и на осуществление трудовой деятельности, в течение всего срока действия настоящего договора.</w:t>
      </w:r>
    </w:p>
    <w:p>
      <w:pPr>
        <w:ind w:firstLine="425"/>
      </w:pPr>
      <w:r>
        <w:t xml:space="preserve">17.3. Работник обязуется представлять Работодателю копии переоформленных, продлённых или вновь полученных разрешительных документов не позднее трёх рабочих дней с даты их получения.</w:t>
      </w:r>
    </w:p>
    <w:p>
      <w:pPr>
        <w:ind w:firstLine="425"/>
      </w:pPr>
      <w:r>
        <w:t xml:space="preserve">17.4. Работник обязуется письменно извещать Работодателя об изменении фамилии, имени, адреса постановки на миграционный учёт, реквизитов документа, удостоверяющего личность, и правового статуса не позднее следующего рабочего дня.</w:t>
      </w:r>
    </w:p>
    <w:p>
      <w:pPr>
        <w:ind w:firstLine="425"/>
      </w:pPr>
      <w:r>
        <w:t xml:space="preserve">17.5. Работник обязуется незамедлительно сообщать Работодателю о приостановлении действия, аннулировании или утрате разрешительных документов.</w:t>
      </w:r>
    </w:p>
    <w:p>
      <w:pPr>
        <w:ind w:firstLine="425"/>
      </w:pPr>
      <w:r>
        <w:t xml:space="preserve">17.6. Работник обязуется бережно относиться к имуществу Работодателя и других работников и незамедлительно сообщать о ситуациях, угрожающих жизни и здоровью людей или сохранности имущества (ст. 215 ТК РФ).</w:t>
      </w:r>
    </w:p>
    <w:p>
      <w:pPr>
        <w:ind w:firstLine="425"/>
      </w:pPr>
      <w:r>
        <w:t xml:space="preserve">17.7. Работник обязуется не осуществлять трудовую деятельность за пределами территории, на которой ему разрешено работать, а также не работать по профессии, не указанной в его разрешительном документе, если такое указание в нём содержится.</w:t>
      </w:r>
    </w:p>
    <w:p>
      <w:pPr>
        <w:pStyle w:val="ClauseHeading"/>
      </w:pPr>
      <w:r>
        <w:rPr>
          <w:b/>
        </w:rPr>
        <w:t xml:space="preserve">18. Страхование и гарантии</w:t>
      </w:r>
    </w:p>
    <w:p>
      <w:pPr>
        <w:ind w:firstLine="425"/>
      </w:pPr>
      <w:r>
        <w:t xml:space="preserve">18.1. Работник подлежит обязательному социальному страхованию: пенсионному и от несчастных случаев — наравне с гражданами РФ; ОМС — для временно пребывающих заменяется полисом ДМС (кроме граждан ЕАЭС, подлежащих ОМС).</w:t>
      </w:r>
    </w:p>
    <w:p>
      <w:pPr>
        <w:ind w:firstLine="425"/>
      </w:pPr>
      <w:r>
        <w:t xml:space="preserve">18.2. Пособия по временной нетрудоспособности — при уплате взносов в установленном порядке; гражданам ЕАЭС — весь набор соцобеспечения наравне с гражданами РФ (Договор о ЕАЭС).</w:t>
      </w:r>
    </w:p>
    <w:p>
      <w:pPr>
        <w:pStyle w:val="ClauseHeading"/>
      </w:pPr>
      <w:r>
        <w:rPr>
          <w:b/>
        </w:rPr>
        <w:t xml:space="preserve">19. Персональные данные</w:t>
      </w:r>
    </w:p>
    <w:p>
      <w:pPr>
        <w:ind w:firstLine="425"/>
      </w:pPr>
      <w:r>
        <w:t xml:space="preserve">19.1. Работодатель обрабатывает персональные данные работника, включая данные документов иностранного гражданина, в объёме, необходимом для трудовых отношений и миграционных обязанностей (уведомления МВД).</w:t>
      </w:r>
    </w:p>
    <w:p>
      <w:pPr>
        <w:ind w:firstLine="425"/>
      </w:pPr>
      <w:r>
        <w:t xml:space="preserve">19.2. Передача данных в органы — в силу закона; иная передача — с письменного согласия.</w:t>
      </w:r>
    </w:p>
    <w:p>
      <w:pPr>
        <w:pStyle w:val="ClauseHeading"/>
      </w:pPr>
      <w:r>
        <w:rPr>
          <w:b/>
        </w:rPr>
        <w:t xml:space="preserve">20. Налоговые, учётные и уведомительные обязанности</w:t>
      </w:r>
    </w:p>
    <w:p>
      <w:pPr>
        <w:ind w:firstLine="425"/>
      </w:pPr>
      <w:r>
        <w:t xml:space="preserve">20.1. Обязанности работодателя: уведомить МВД о заключении договора в течение трёх рабочих дней; вести воинский учёт не требуется (иностранцы ему не подлежат); НДФЛ — 13–22% по прогрессивной шкале для налоговых резидентов и нерезидентов-работников по патенту/ВКС/ЕАЭС с зачётом авансовых платежей по патенту.</w:t>
      </w:r>
    </w:p>
    <w:p>
      <w:pPr>
        <w:ind w:firstLine="425"/>
      </w:pPr>
      <w:r>
        <w:t xml:space="preserve">20.2. Во всём ином, не урегулированном договором, применяются ТК РФ, 115-ФЗ и договор о ЕАЭС.</w:t>
      </w:r>
    </w:p>
    <w:p>
      <w:pPr>
        <w:ind w:firstLine="425"/>
      </w:pPr>
      <w:r>
        <w:t xml:space="preserve">20.3. Договор составлен в двух экземплярах, по одному для каждой стороны; работник экземпляр получил.</w:t>
      </w:r>
    </w:p>
    <w:p>
      <w:pPr>
        <w:pStyle w:val="ClauseHeading"/>
      </w:pPr>
      <w:r>
        <w:rPr>
          <w:b/>
        </w:rPr>
        <w:t xml:space="preserve">21. Заключительные положения и язык договора</w:t>
      </w:r>
    </w:p>
    <w:p>
      <w:pPr>
        <w:ind w:firstLine="425"/>
      </w:pPr>
      <w:r>
        <w:t xml:space="preserve">21.1. Договор составлен на русском языке (по требованию работника может быть переведён) в двух экземплярах.</w:t>
      </w:r>
    </w:p>
    <w:p>
      <w:pPr>
        <w:ind w:firstLine="425"/>
      </w:pPr>
      <w:r>
        <w:t xml:space="preserve">21.2. Споры — в порядке, установленном ТК РФ; иностранный работник пользуется судебной защитой наравне с гражданами РФ.</w:t>
      </w:r>
    </w:p>
    <w:p>
      <w:pPr>
        <w:ind w:firstLine="425"/>
      </w:pPr>
      <w:r>
        <w:t xml:space="preserve">21.3. В неурегулированной части применяются ТК РФ, 115-ФЗ и международные договоры РФ.</w:t>
      </w:r>
    </w:p>
    <w:p>
      <w:pPr>
        <w:pStyle w:val="ClauseHeading"/>
      </w:pPr>
      <w:r>
        <w:rPr>
          <w:b/>
        </w:rPr>
        <w:t xml:space="preserve">22. Подписи сторон</w:t>
      </w:r>
    </w:p>
    <w:p>
      <w:pPr>
        <w:ind w:firstLine="425"/>
      </w:pPr>
      <w:r>
        <w:t xml:space="preserve">22.1. Работодатель: Иванов Иван Иванович</w:t>
      </w:r>
    </w:p>
    <w:p>
      <w:pPr>
        <w:ind w:firstLine="425"/>
      </w:pPr>
      <w:r>
        <w:t xml:space="preserve">22.2. ______</w:t>
      </w:r>
    </w:p>
    <w:p>
      <w:pPr>
        <w:ind w:firstLine="425"/>
      </w:pPr>
      <w:r>
        <w:t xml:space="preserve">22.3. От имени Работодателя договор подписал: генерального директора Петрова Петра Петровича, действующего на основании устава</w:t>
      </w:r>
    </w:p>
    <w:p>
      <w:pPr>
        <w:ind w:firstLine="425"/>
      </w:pPr>
      <w:r>
        <w:t xml:space="preserve">22.4. Подпись ______________________</w:t>
      </w:r>
    </w:p>
    <w:p>
      <w:pPr>
        <w:ind w:firstLine="425"/>
      </w:pPr>
      <w:r>
        <w:t xml:space="preserve">22.5. Работник: Петров Пётр Петрович</w:t>
      </w:r>
    </w:p>
    <w:p>
      <w:pPr>
        <w:ind w:firstLine="425"/>
      </w:pPr>
      <w:r>
        <w:t xml:space="preserve">22.6. ______</w:t>
      </w:r>
    </w:p>
    <w:p>
      <w:pPr>
        <w:ind w:firstLine="425"/>
      </w:pPr>
      <w:r>
        <w:t xml:space="preserve">22.7. Подпись ______________________</w:t>
      </w:r>
    </w:p>
    <w:p>
      <w:pPr>
        <w:ind w:firstLine="425"/>
      </w:pPr>
      <w:r>
        <w:t xml:space="preserve">22.8. Экземпляр трудового договора Работник получил на руки 01.02.2026. Подпись Работника ______________________</w:t>
      </w:r>
    </w:p>
    <w:p>
      <w:pPr>
        <w:ind w:firstLine="425"/>
      </w:pPr>
      <w:r>
        <w:t xml:space="preserve">22.9. Перевод настоящего договора на понятный Работнику язык получен.</w:t>
      </w:r>
    </w:p>
    <w:p>
      <w:pPr>
        <w:ind w:firstLine="425"/>
      </w:pPr>
      <w:r>
        <w:t xml:space="preserve">22.10. Подпись Работника ______________________</w:t>
      </w:r>
    </w:p>
    <w:p>
      <w:pPr>
        <w:pageBreakBefore/>
      </w:pPr>
    </w:p>
    <w:p>
      <w:pPr>
        <w:jc w:val="right"/>
      </w:pPr>
      <w:r>
        <w:rPr>
          <w:b/>
        </w:rPr>
        <w:t xml:space="preserve">Приложение № 1 к документу</w:t>
      </w:r>
    </w:p>
    <w:p>
      <w:pPr>
        <w:pStyle w:val="DocTitle"/>
      </w:pPr>
      <w:r>
        <w:t xml:space="preserve">Опись документов иностранного работника и сроков их действия</w:t>
      </w:r>
    </w:p>
    <w:p>
      <w:pPr>
        <w:ind w:firstLine="425"/>
      </w:pPr>
      <w:r>
        <w:t xml:space="preserve">Приложение к трудовому договору № ТД-2026/14. Опись ведёт Работодатель и обновляет при каждом переоформлении документов Работника.</w:t>
      </w:r>
    </w:p>
    <w:p>
      <w:pPr>
        <w:ind w:firstLine="425"/>
      </w:pPr>
      <w:r>
        <w:t xml:space="preserve">Работник: Петров Пётр Петрович. Правовой статус: временно пребывающий (патент).</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507"/>
        <w:gridCol w:w="2367"/>
        <w:gridCol w:w="1184"/>
        <w:gridCol w:w="846"/>
        <w:gridCol w:w="1522"/>
        <w:gridCol w:w="1522"/>
        <w:gridCol w:w="1691"/>
      </w:tblGrid>
      <w:tr>
        <w:tc>
          <w:tcPr>
            <w:tcW w:w="263" w:type="pct"/>
            <w:vAlign w:val="center"/>
          </w:tcPr>
          <w:p>
            <w:pPr>
              <w:jc w:val="center"/>
              <w:ind w:firstLine="0"/>
            </w:pPr>
            <w:r>
              <w:rPr>
                <w:b/>
              </w:rPr>
              <w:t xml:space="preserve">№</w:t>
            </w:r>
          </w:p>
        </w:tc>
        <w:tc>
          <w:tcPr>
            <w:tcW w:w="1228" w:type="pct"/>
            <w:vAlign w:val="center"/>
          </w:tcPr>
          <w:p>
            <w:pPr>
              <w:jc w:val="center"/>
              <w:ind w:firstLine="0"/>
            </w:pPr>
            <w:r>
              <w:rPr>
                <w:b/>
              </w:rPr>
              <w:t xml:space="preserve">Наименование документа</w:t>
            </w:r>
          </w:p>
        </w:tc>
        <w:tc>
          <w:tcPr>
            <w:tcW w:w="614" w:type="pct"/>
            <w:vAlign w:val="center"/>
          </w:tcPr>
          <w:p>
            <w:pPr>
              <w:jc w:val="center"/>
              <w:ind w:firstLine="0"/>
            </w:pPr>
            <w:r>
              <w:rPr>
                <w:b/>
              </w:rPr>
              <w:t xml:space="preserve">Серия и номер</w:t>
            </w:r>
          </w:p>
        </w:tc>
        <w:tc>
          <w:tcPr>
            <w:tcW w:w="439" w:type="pct"/>
            <w:vAlign w:val="center"/>
          </w:tcPr>
          <w:p>
            <w:pPr>
              <w:jc w:val="center"/>
              <w:ind w:firstLine="0"/>
            </w:pPr>
            <w:r>
              <w:rPr>
                <w:b/>
              </w:rPr>
              <w:t xml:space="preserve">Кем выдан</w:t>
            </w:r>
          </w:p>
        </w:tc>
        <w:tc>
          <w:tcPr>
            <w:tcW w:w="789" w:type="pct"/>
            <w:vAlign w:val="center"/>
          </w:tcPr>
          <w:p>
            <w:pPr>
              <w:jc w:val="center"/>
              <w:ind w:firstLine="0"/>
            </w:pPr>
            <w:r>
              <w:rPr>
                <w:b/>
              </w:rPr>
              <w:t xml:space="preserve">Дата выдачи</w:t>
            </w:r>
          </w:p>
        </w:tc>
        <w:tc>
          <w:tcPr>
            <w:tcW w:w="789" w:type="pct"/>
            <w:vAlign w:val="center"/>
          </w:tcPr>
          <w:p>
            <w:pPr>
              <w:jc w:val="center"/>
              <w:ind w:firstLine="0"/>
            </w:pPr>
            <w:r>
              <w:rPr>
                <w:b/>
              </w:rPr>
              <w:t xml:space="preserve">Действует по</w:t>
            </w:r>
          </w:p>
        </w:tc>
        <w:tc>
          <w:tcPr>
            <w:tcW w:w="877" w:type="pct"/>
            <w:vAlign w:val="center"/>
          </w:tcPr>
          <w:p>
            <w:pPr>
              <w:jc w:val="center"/>
              <w:ind w:firstLine="0"/>
            </w:pPr>
            <w:r>
              <w:rPr>
                <w:b/>
              </w:rPr>
              <w:t xml:space="preserve">Отметка о продлении</w:t>
            </w: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r>
        <w:trPr>
          <w:trHeight w:val="397" w:hRule="atLeast"/>
        </w:trPr>
        <w:tc>
          <w:tcPr>
            <w:tcW w:w="263" w:type="pct"/>
            <w:vAlign w:val="center"/>
          </w:tcPr>
          <w:p>
            <w:pPr>
              <w:jc w:val="center"/>
              <w:ind w:firstLine="0"/>
            </w:pPr>
          </w:p>
        </w:tc>
        <w:tc>
          <w:tcPr>
            <w:tcW w:w="1228" w:type="pct"/>
            <w:vAlign w:val="center"/>
          </w:tcPr>
          <w:p>
            <w:pPr>
              <w:jc w:val="left"/>
              <w:ind w:firstLine="0"/>
            </w:pPr>
          </w:p>
        </w:tc>
        <w:tc>
          <w:tcPr>
            <w:tcW w:w="614" w:type="pct"/>
            <w:vAlign w:val="center"/>
          </w:tcPr>
          <w:p>
            <w:pPr>
              <w:jc w:val="left"/>
              <w:ind w:firstLine="0"/>
            </w:pPr>
          </w:p>
        </w:tc>
        <w:tc>
          <w:tcPr>
            <w:tcW w:w="439" w:type="pct"/>
            <w:vAlign w:val="center"/>
          </w:tcPr>
          <w:p>
            <w:pPr>
              <w:jc w:val="left"/>
              <w:ind w:firstLine="0"/>
            </w:pPr>
          </w:p>
        </w:tc>
        <w:tc>
          <w:tcPr>
            <w:tcW w:w="789" w:type="pct"/>
            <w:vAlign w:val="center"/>
          </w:tcPr>
          <w:p>
            <w:pPr>
              <w:jc w:val="left"/>
              <w:ind w:firstLine="0"/>
            </w:pPr>
          </w:p>
        </w:tc>
        <w:tc>
          <w:tcPr>
            <w:tcW w:w="789" w:type="pct"/>
            <w:vAlign w:val="center"/>
          </w:tcPr>
          <w:p>
            <w:pPr>
              <w:jc w:val="left"/>
              <w:ind w:firstLine="0"/>
            </w:pPr>
          </w:p>
        </w:tc>
        <w:tc>
          <w:tcPr>
            <w:tcW w:w="877" w:type="pct"/>
            <w:vAlign w:val="center"/>
          </w:tcPr>
          <w:p>
            <w:pPr>
              <w:jc w:val="left"/>
              <w:ind w:firstLine="0"/>
            </w:pPr>
          </w:p>
        </w:tc>
      </w:tr>
    </w:tbl>
    <w:p/>
    <w:p>
      <w:pPr>
        <w:ind w:firstLine="425"/>
      </w:pPr>
      <w:r>
        <w:t xml:space="preserve">Работодатель контролирует сроки, указанные в графе «Действует по», и письменно напоминает Работнику о переоформлении не позднее чем за тридцать календарных дней до истечения срока.</w:t>
      </w:r>
    </w:p>
    <w:p>
      <w:pPr>
        <w:ind w:firstLine="425"/>
      </w:pPr>
      <w:r>
        <w:t xml:space="preserve">Опись составлена 01.02.2026. Ответственный ________________ / ______________________________</w:t>
      </w:r>
    </w:p>
    <w:p>
      <w:pPr>
        <w:pageBreakBefore/>
      </w:pPr>
    </w:p>
    <w:p>
      <w:pPr>
        <w:jc w:val="right"/>
      </w:pPr>
      <w:r>
        <w:rPr>
          <w:b/>
        </w:rPr>
        <w:t xml:space="preserve">Приложение № 2 к документу</w:t>
      </w:r>
    </w:p>
    <w:p>
      <w:pPr>
        <w:pStyle w:val="DocTitle"/>
      </w:pPr>
      <w:r>
        <w:t xml:space="preserve">Журнал уведомлений органа внутренних дел</w:t>
      </w:r>
    </w:p>
    <w:p>
      <w:pPr>
        <w:ind w:firstLine="425"/>
      </w:pPr>
      <w:r>
        <w:t xml:space="preserve">Приложение к трудовому договору. Журнал подтверждает исполнение обязанности уведомить орган внутренних дел о заключении и о прекращении трудового договора в трёхдневный срок.</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19"/>
        <w:gridCol w:w="2515"/>
        <w:gridCol w:w="1257"/>
        <w:gridCol w:w="1956"/>
        <w:gridCol w:w="1537"/>
        <w:gridCol w:w="1956"/>
      </w:tblGrid>
      <w:tr>
        <w:tc>
          <w:tcPr>
            <w:tcW w:w="217" w:type="pct"/>
            <w:vAlign w:val="center"/>
          </w:tcPr>
          <w:p>
            <w:pPr>
              <w:jc w:val="center"/>
              <w:ind w:firstLine="0"/>
            </w:pPr>
            <w:r>
              <w:rPr>
                <w:b/>
              </w:rPr>
              <w:t xml:space="preserve">№</w:t>
            </w:r>
          </w:p>
        </w:tc>
        <w:tc>
          <w:tcPr>
            <w:tcW w:w="1304" w:type="pct"/>
            <w:vAlign w:val="center"/>
          </w:tcPr>
          <w:p>
            <w:pPr>
              <w:jc w:val="center"/>
              <w:ind w:firstLine="0"/>
            </w:pPr>
            <w:r>
              <w:rPr>
                <w:b/>
              </w:rPr>
              <w:t xml:space="preserve">Событие (заключение или прекращение)</w:t>
            </w:r>
          </w:p>
        </w:tc>
        <w:tc>
          <w:tcPr>
            <w:tcW w:w="652" w:type="pct"/>
            <w:vAlign w:val="center"/>
          </w:tcPr>
          <w:p>
            <w:pPr>
              <w:jc w:val="center"/>
              <w:ind w:firstLine="0"/>
            </w:pPr>
            <w:r>
              <w:rPr>
                <w:b/>
              </w:rPr>
              <w:t xml:space="preserve">Дата события</w:t>
            </w:r>
          </w:p>
        </w:tc>
        <w:tc>
          <w:tcPr>
            <w:tcW w:w="1015" w:type="pct"/>
            <w:vAlign w:val="center"/>
          </w:tcPr>
          <w:p>
            <w:pPr>
              <w:jc w:val="center"/>
              <w:ind w:firstLine="0"/>
            </w:pPr>
            <w:r>
              <w:rPr>
                <w:b/>
              </w:rPr>
              <w:t xml:space="preserve">Дата направления уведомления</w:t>
            </w:r>
          </w:p>
        </w:tc>
        <w:tc>
          <w:tcPr>
            <w:tcW w:w="797" w:type="pct"/>
            <w:vAlign w:val="center"/>
          </w:tcPr>
          <w:p>
            <w:pPr>
              <w:jc w:val="center"/>
              <w:ind w:firstLine="0"/>
            </w:pPr>
            <w:r>
              <w:rPr>
                <w:b/>
              </w:rPr>
              <w:t xml:space="preserve">Способ направления</w:t>
            </w:r>
          </w:p>
        </w:tc>
        <w:tc>
          <w:tcPr>
            <w:tcW w:w="1015" w:type="pct"/>
            <w:vAlign w:val="center"/>
          </w:tcPr>
          <w:p>
            <w:pPr>
              <w:jc w:val="center"/>
              <w:ind w:firstLine="0"/>
            </w:pPr>
            <w:r>
              <w:rPr>
                <w:b/>
              </w:rPr>
              <w:t xml:space="preserve">Реквизиты отметки о принятии</w:t>
            </w:r>
          </w:p>
        </w:tc>
      </w:tr>
      <w:tr>
        <w:trPr>
          <w:trHeight w:val="397" w:hRule="atLeast"/>
        </w:trPr>
        <w:tc>
          <w:tcPr>
            <w:tcW w:w="217" w:type="pct"/>
            <w:vAlign w:val="center"/>
          </w:tcPr>
          <w:p>
            <w:pPr>
              <w:jc w:val="center"/>
              <w:ind w:firstLine="0"/>
            </w:pPr>
          </w:p>
        </w:tc>
        <w:tc>
          <w:tcPr>
            <w:tcW w:w="1304" w:type="pct"/>
            <w:vAlign w:val="center"/>
          </w:tcPr>
          <w:p>
            <w:pPr>
              <w:jc w:val="left"/>
              <w:ind w:firstLine="0"/>
            </w:pPr>
          </w:p>
        </w:tc>
        <w:tc>
          <w:tcPr>
            <w:tcW w:w="652" w:type="pct"/>
            <w:vAlign w:val="center"/>
          </w:tcPr>
          <w:p>
            <w:pPr>
              <w:jc w:val="left"/>
              <w:ind w:firstLine="0"/>
            </w:pPr>
          </w:p>
        </w:tc>
        <w:tc>
          <w:tcPr>
            <w:tcW w:w="1015" w:type="pct"/>
            <w:vAlign w:val="center"/>
          </w:tcPr>
          <w:p>
            <w:pPr>
              <w:jc w:val="left"/>
              <w:ind w:firstLine="0"/>
            </w:pPr>
          </w:p>
        </w:tc>
        <w:tc>
          <w:tcPr>
            <w:tcW w:w="797" w:type="pct"/>
            <w:vAlign w:val="center"/>
          </w:tcPr>
          <w:p>
            <w:pPr>
              <w:jc w:val="left"/>
              <w:ind w:firstLine="0"/>
            </w:pPr>
          </w:p>
        </w:tc>
        <w:tc>
          <w:tcPr>
            <w:tcW w:w="1015" w:type="pct"/>
            <w:vAlign w:val="center"/>
          </w:tcPr>
          <w:p>
            <w:pPr>
              <w:jc w:val="left"/>
              <w:ind w:firstLine="0"/>
            </w:pPr>
          </w:p>
        </w:tc>
      </w:tr>
      <w:tr>
        <w:trPr>
          <w:trHeight w:val="397" w:hRule="atLeast"/>
        </w:trPr>
        <w:tc>
          <w:tcPr>
            <w:tcW w:w="217" w:type="pct"/>
            <w:vAlign w:val="center"/>
          </w:tcPr>
          <w:p>
            <w:pPr>
              <w:jc w:val="center"/>
              <w:ind w:firstLine="0"/>
            </w:pPr>
          </w:p>
        </w:tc>
        <w:tc>
          <w:tcPr>
            <w:tcW w:w="1304" w:type="pct"/>
            <w:vAlign w:val="center"/>
          </w:tcPr>
          <w:p>
            <w:pPr>
              <w:jc w:val="left"/>
              <w:ind w:firstLine="0"/>
            </w:pPr>
          </w:p>
        </w:tc>
        <w:tc>
          <w:tcPr>
            <w:tcW w:w="652" w:type="pct"/>
            <w:vAlign w:val="center"/>
          </w:tcPr>
          <w:p>
            <w:pPr>
              <w:jc w:val="left"/>
              <w:ind w:firstLine="0"/>
            </w:pPr>
          </w:p>
        </w:tc>
        <w:tc>
          <w:tcPr>
            <w:tcW w:w="1015" w:type="pct"/>
            <w:vAlign w:val="center"/>
          </w:tcPr>
          <w:p>
            <w:pPr>
              <w:jc w:val="left"/>
              <w:ind w:firstLine="0"/>
            </w:pPr>
          </w:p>
        </w:tc>
        <w:tc>
          <w:tcPr>
            <w:tcW w:w="797" w:type="pct"/>
            <w:vAlign w:val="center"/>
          </w:tcPr>
          <w:p>
            <w:pPr>
              <w:jc w:val="left"/>
              <w:ind w:firstLine="0"/>
            </w:pPr>
          </w:p>
        </w:tc>
        <w:tc>
          <w:tcPr>
            <w:tcW w:w="1015" w:type="pct"/>
            <w:vAlign w:val="center"/>
          </w:tcPr>
          <w:p>
            <w:pPr>
              <w:jc w:val="left"/>
              <w:ind w:firstLine="0"/>
            </w:pPr>
          </w:p>
        </w:tc>
      </w:tr>
      <w:tr>
        <w:trPr>
          <w:trHeight w:val="397" w:hRule="atLeast"/>
        </w:trPr>
        <w:tc>
          <w:tcPr>
            <w:tcW w:w="217" w:type="pct"/>
            <w:vAlign w:val="center"/>
          </w:tcPr>
          <w:p>
            <w:pPr>
              <w:jc w:val="center"/>
              <w:ind w:firstLine="0"/>
            </w:pPr>
          </w:p>
        </w:tc>
        <w:tc>
          <w:tcPr>
            <w:tcW w:w="1304" w:type="pct"/>
            <w:vAlign w:val="center"/>
          </w:tcPr>
          <w:p>
            <w:pPr>
              <w:jc w:val="left"/>
              <w:ind w:firstLine="0"/>
            </w:pPr>
          </w:p>
        </w:tc>
        <w:tc>
          <w:tcPr>
            <w:tcW w:w="652" w:type="pct"/>
            <w:vAlign w:val="center"/>
          </w:tcPr>
          <w:p>
            <w:pPr>
              <w:jc w:val="left"/>
              <w:ind w:firstLine="0"/>
            </w:pPr>
          </w:p>
        </w:tc>
        <w:tc>
          <w:tcPr>
            <w:tcW w:w="1015" w:type="pct"/>
            <w:vAlign w:val="center"/>
          </w:tcPr>
          <w:p>
            <w:pPr>
              <w:jc w:val="left"/>
              <w:ind w:firstLine="0"/>
            </w:pPr>
          </w:p>
        </w:tc>
        <w:tc>
          <w:tcPr>
            <w:tcW w:w="797" w:type="pct"/>
            <w:vAlign w:val="center"/>
          </w:tcPr>
          <w:p>
            <w:pPr>
              <w:jc w:val="left"/>
              <w:ind w:firstLine="0"/>
            </w:pPr>
          </w:p>
        </w:tc>
        <w:tc>
          <w:tcPr>
            <w:tcW w:w="1015" w:type="pct"/>
            <w:vAlign w:val="center"/>
          </w:tcPr>
          <w:p>
            <w:pPr>
              <w:jc w:val="left"/>
              <w:ind w:firstLine="0"/>
            </w:pPr>
          </w:p>
        </w:tc>
      </w:tr>
      <w:tr>
        <w:trPr>
          <w:trHeight w:val="397" w:hRule="atLeast"/>
        </w:trPr>
        <w:tc>
          <w:tcPr>
            <w:tcW w:w="217" w:type="pct"/>
            <w:vAlign w:val="center"/>
          </w:tcPr>
          <w:p>
            <w:pPr>
              <w:jc w:val="center"/>
              <w:ind w:firstLine="0"/>
            </w:pPr>
          </w:p>
        </w:tc>
        <w:tc>
          <w:tcPr>
            <w:tcW w:w="1304" w:type="pct"/>
            <w:vAlign w:val="center"/>
          </w:tcPr>
          <w:p>
            <w:pPr>
              <w:jc w:val="left"/>
              <w:ind w:firstLine="0"/>
            </w:pPr>
          </w:p>
        </w:tc>
        <w:tc>
          <w:tcPr>
            <w:tcW w:w="652" w:type="pct"/>
            <w:vAlign w:val="center"/>
          </w:tcPr>
          <w:p>
            <w:pPr>
              <w:jc w:val="left"/>
              <w:ind w:firstLine="0"/>
            </w:pPr>
          </w:p>
        </w:tc>
        <w:tc>
          <w:tcPr>
            <w:tcW w:w="1015" w:type="pct"/>
            <w:vAlign w:val="center"/>
          </w:tcPr>
          <w:p>
            <w:pPr>
              <w:jc w:val="left"/>
              <w:ind w:firstLine="0"/>
            </w:pPr>
          </w:p>
        </w:tc>
        <w:tc>
          <w:tcPr>
            <w:tcW w:w="797" w:type="pct"/>
            <w:vAlign w:val="center"/>
          </w:tcPr>
          <w:p>
            <w:pPr>
              <w:jc w:val="left"/>
              <w:ind w:firstLine="0"/>
            </w:pPr>
          </w:p>
        </w:tc>
        <w:tc>
          <w:tcPr>
            <w:tcW w:w="1015" w:type="pct"/>
            <w:vAlign w:val="center"/>
          </w:tcPr>
          <w:p>
            <w:pPr>
              <w:jc w:val="left"/>
              <w:ind w:firstLine="0"/>
            </w:pPr>
          </w:p>
        </w:tc>
      </w:tr>
      <w:tr>
        <w:trPr>
          <w:trHeight w:val="397" w:hRule="atLeast"/>
        </w:trPr>
        <w:tc>
          <w:tcPr>
            <w:tcW w:w="217" w:type="pct"/>
            <w:vAlign w:val="center"/>
          </w:tcPr>
          <w:p>
            <w:pPr>
              <w:jc w:val="center"/>
              <w:ind w:firstLine="0"/>
            </w:pPr>
          </w:p>
        </w:tc>
        <w:tc>
          <w:tcPr>
            <w:tcW w:w="1304" w:type="pct"/>
            <w:vAlign w:val="center"/>
          </w:tcPr>
          <w:p>
            <w:pPr>
              <w:jc w:val="left"/>
              <w:ind w:firstLine="0"/>
            </w:pPr>
          </w:p>
        </w:tc>
        <w:tc>
          <w:tcPr>
            <w:tcW w:w="652" w:type="pct"/>
            <w:vAlign w:val="center"/>
          </w:tcPr>
          <w:p>
            <w:pPr>
              <w:jc w:val="left"/>
              <w:ind w:firstLine="0"/>
            </w:pPr>
          </w:p>
        </w:tc>
        <w:tc>
          <w:tcPr>
            <w:tcW w:w="1015" w:type="pct"/>
            <w:vAlign w:val="center"/>
          </w:tcPr>
          <w:p>
            <w:pPr>
              <w:jc w:val="left"/>
              <w:ind w:firstLine="0"/>
            </w:pPr>
          </w:p>
        </w:tc>
        <w:tc>
          <w:tcPr>
            <w:tcW w:w="797" w:type="pct"/>
            <w:vAlign w:val="center"/>
          </w:tcPr>
          <w:p>
            <w:pPr>
              <w:jc w:val="left"/>
              <w:ind w:firstLine="0"/>
            </w:pPr>
          </w:p>
        </w:tc>
        <w:tc>
          <w:tcPr>
            <w:tcW w:w="1015" w:type="pct"/>
            <w:vAlign w:val="center"/>
          </w:tcPr>
          <w:p>
            <w:pPr>
              <w:jc w:val="left"/>
              <w:ind w:firstLine="0"/>
            </w:pPr>
          </w:p>
        </w:tc>
      </w:tr>
      <w:tr>
        <w:trPr>
          <w:trHeight w:val="397" w:hRule="atLeast"/>
        </w:trPr>
        <w:tc>
          <w:tcPr>
            <w:tcW w:w="217" w:type="pct"/>
            <w:vAlign w:val="center"/>
          </w:tcPr>
          <w:p>
            <w:pPr>
              <w:jc w:val="center"/>
              <w:ind w:firstLine="0"/>
            </w:pPr>
          </w:p>
        </w:tc>
        <w:tc>
          <w:tcPr>
            <w:tcW w:w="1304" w:type="pct"/>
            <w:vAlign w:val="center"/>
          </w:tcPr>
          <w:p>
            <w:pPr>
              <w:jc w:val="left"/>
              <w:ind w:firstLine="0"/>
            </w:pPr>
          </w:p>
        </w:tc>
        <w:tc>
          <w:tcPr>
            <w:tcW w:w="652" w:type="pct"/>
            <w:vAlign w:val="center"/>
          </w:tcPr>
          <w:p>
            <w:pPr>
              <w:jc w:val="left"/>
              <w:ind w:firstLine="0"/>
            </w:pPr>
          </w:p>
        </w:tc>
        <w:tc>
          <w:tcPr>
            <w:tcW w:w="1015" w:type="pct"/>
            <w:vAlign w:val="center"/>
          </w:tcPr>
          <w:p>
            <w:pPr>
              <w:jc w:val="left"/>
              <w:ind w:firstLine="0"/>
            </w:pPr>
          </w:p>
        </w:tc>
        <w:tc>
          <w:tcPr>
            <w:tcW w:w="797" w:type="pct"/>
            <w:vAlign w:val="center"/>
          </w:tcPr>
          <w:p>
            <w:pPr>
              <w:jc w:val="left"/>
              <w:ind w:firstLine="0"/>
            </w:pPr>
          </w:p>
        </w:tc>
        <w:tc>
          <w:tcPr>
            <w:tcW w:w="1015" w:type="pct"/>
            <w:vAlign w:val="center"/>
          </w:tcPr>
          <w:p>
            <w:pPr>
              <w:jc w:val="left"/>
              <w:ind w:firstLine="0"/>
            </w:pPr>
          </w:p>
        </w:tc>
      </w:tr>
      <w:tr>
        <w:trPr>
          <w:trHeight w:val="397" w:hRule="atLeast"/>
        </w:trPr>
        <w:tc>
          <w:tcPr>
            <w:tcW w:w="217" w:type="pct"/>
            <w:vAlign w:val="center"/>
          </w:tcPr>
          <w:p>
            <w:pPr>
              <w:jc w:val="center"/>
              <w:ind w:firstLine="0"/>
            </w:pPr>
          </w:p>
        </w:tc>
        <w:tc>
          <w:tcPr>
            <w:tcW w:w="1304" w:type="pct"/>
            <w:vAlign w:val="center"/>
          </w:tcPr>
          <w:p>
            <w:pPr>
              <w:jc w:val="left"/>
              <w:ind w:firstLine="0"/>
            </w:pPr>
          </w:p>
        </w:tc>
        <w:tc>
          <w:tcPr>
            <w:tcW w:w="652" w:type="pct"/>
            <w:vAlign w:val="center"/>
          </w:tcPr>
          <w:p>
            <w:pPr>
              <w:jc w:val="left"/>
              <w:ind w:firstLine="0"/>
            </w:pPr>
          </w:p>
        </w:tc>
        <w:tc>
          <w:tcPr>
            <w:tcW w:w="1015" w:type="pct"/>
            <w:vAlign w:val="center"/>
          </w:tcPr>
          <w:p>
            <w:pPr>
              <w:jc w:val="left"/>
              <w:ind w:firstLine="0"/>
            </w:pPr>
          </w:p>
        </w:tc>
        <w:tc>
          <w:tcPr>
            <w:tcW w:w="797" w:type="pct"/>
            <w:vAlign w:val="center"/>
          </w:tcPr>
          <w:p>
            <w:pPr>
              <w:jc w:val="left"/>
              <w:ind w:firstLine="0"/>
            </w:pPr>
          </w:p>
        </w:tc>
        <w:tc>
          <w:tcPr>
            <w:tcW w:w="1015" w:type="pct"/>
            <w:vAlign w:val="center"/>
          </w:tcPr>
          <w:p>
            <w:pPr>
              <w:jc w:val="left"/>
              <w:ind w:firstLine="0"/>
            </w:pPr>
          </w:p>
        </w:tc>
      </w:tr>
      <w:tr>
        <w:trPr>
          <w:trHeight w:val="397" w:hRule="atLeast"/>
        </w:trPr>
        <w:tc>
          <w:tcPr>
            <w:tcW w:w="217" w:type="pct"/>
            <w:vAlign w:val="center"/>
          </w:tcPr>
          <w:p>
            <w:pPr>
              <w:jc w:val="center"/>
              <w:ind w:firstLine="0"/>
            </w:pPr>
          </w:p>
        </w:tc>
        <w:tc>
          <w:tcPr>
            <w:tcW w:w="1304" w:type="pct"/>
            <w:vAlign w:val="center"/>
          </w:tcPr>
          <w:p>
            <w:pPr>
              <w:jc w:val="left"/>
              <w:ind w:firstLine="0"/>
            </w:pPr>
          </w:p>
        </w:tc>
        <w:tc>
          <w:tcPr>
            <w:tcW w:w="652" w:type="pct"/>
            <w:vAlign w:val="center"/>
          </w:tcPr>
          <w:p>
            <w:pPr>
              <w:jc w:val="left"/>
              <w:ind w:firstLine="0"/>
            </w:pPr>
          </w:p>
        </w:tc>
        <w:tc>
          <w:tcPr>
            <w:tcW w:w="1015" w:type="pct"/>
            <w:vAlign w:val="center"/>
          </w:tcPr>
          <w:p>
            <w:pPr>
              <w:jc w:val="left"/>
              <w:ind w:firstLine="0"/>
            </w:pPr>
          </w:p>
        </w:tc>
        <w:tc>
          <w:tcPr>
            <w:tcW w:w="797" w:type="pct"/>
            <w:vAlign w:val="center"/>
          </w:tcPr>
          <w:p>
            <w:pPr>
              <w:jc w:val="left"/>
              <w:ind w:firstLine="0"/>
            </w:pPr>
          </w:p>
        </w:tc>
        <w:tc>
          <w:tcPr>
            <w:tcW w:w="1015" w:type="pct"/>
            <w:vAlign w:val="center"/>
          </w:tcPr>
          <w:p>
            <w:pPr>
              <w:jc w:val="left"/>
              <w:ind w:firstLine="0"/>
            </w:pPr>
          </w:p>
        </w:tc>
      </w:tr>
      <w:tr>
        <w:trPr>
          <w:trHeight w:val="397" w:hRule="atLeast"/>
        </w:trPr>
        <w:tc>
          <w:tcPr>
            <w:tcW w:w="217" w:type="pct"/>
            <w:vAlign w:val="center"/>
          </w:tcPr>
          <w:p>
            <w:pPr>
              <w:jc w:val="center"/>
              <w:ind w:firstLine="0"/>
            </w:pPr>
          </w:p>
        </w:tc>
        <w:tc>
          <w:tcPr>
            <w:tcW w:w="1304" w:type="pct"/>
            <w:vAlign w:val="center"/>
          </w:tcPr>
          <w:p>
            <w:pPr>
              <w:jc w:val="left"/>
              <w:ind w:firstLine="0"/>
            </w:pPr>
          </w:p>
        </w:tc>
        <w:tc>
          <w:tcPr>
            <w:tcW w:w="652" w:type="pct"/>
            <w:vAlign w:val="center"/>
          </w:tcPr>
          <w:p>
            <w:pPr>
              <w:jc w:val="left"/>
              <w:ind w:firstLine="0"/>
            </w:pPr>
          </w:p>
        </w:tc>
        <w:tc>
          <w:tcPr>
            <w:tcW w:w="1015" w:type="pct"/>
            <w:vAlign w:val="center"/>
          </w:tcPr>
          <w:p>
            <w:pPr>
              <w:jc w:val="left"/>
              <w:ind w:firstLine="0"/>
            </w:pPr>
          </w:p>
        </w:tc>
        <w:tc>
          <w:tcPr>
            <w:tcW w:w="797" w:type="pct"/>
            <w:vAlign w:val="center"/>
          </w:tcPr>
          <w:p>
            <w:pPr>
              <w:jc w:val="left"/>
              <w:ind w:firstLine="0"/>
            </w:pPr>
          </w:p>
        </w:tc>
        <w:tc>
          <w:tcPr>
            <w:tcW w:w="1015" w:type="pct"/>
            <w:vAlign w:val="center"/>
          </w:tcPr>
          <w:p>
            <w:pPr>
              <w:jc w:val="left"/>
              <w:ind w:firstLine="0"/>
            </w:pPr>
          </w:p>
        </w:tc>
      </w:tr>
      <w:tr>
        <w:trPr>
          <w:trHeight w:val="397" w:hRule="atLeast"/>
        </w:trPr>
        <w:tc>
          <w:tcPr>
            <w:tcW w:w="217" w:type="pct"/>
            <w:vAlign w:val="center"/>
          </w:tcPr>
          <w:p>
            <w:pPr>
              <w:jc w:val="center"/>
              <w:ind w:firstLine="0"/>
            </w:pPr>
          </w:p>
        </w:tc>
        <w:tc>
          <w:tcPr>
            <w:tcW w:w="1304" w:type="pct"/>
            <w:vAlign w:val="center"/>
          </w:tcPr>
          <w:p>
            <w:pPr>
              <w:jc w:val="left"/>
              <w:ind w:firstLine="0"/>
            </w:pPr>
          </w:p>
        </w:tc>
        <w:tc>
          <w:tcPr>
            <w:tcW w:w="652" w:type="pct"/>
            <w:vAlign w:val="center"/>
          </w:tcPr>
          <w:p>
            <w:pPr>
              <w:jc w:val="left"/>
              <w:ind w:firstLine="0"/>
            </w:pPr>
          </w:p>
        </w:tc>
        <w:tc>
          <w:tcPr>
            <w:tcW w:w="1015" w:type="pct"/>
            <w:vAlign w:val="center"/>
          </w:tcPr>
          <w:p>
            <w:pPr>
              <w:jc w:val="left"/>
              <w:ind w:firstLine="0"/>
            </w:pPr>
          </w:p>
        </w:tc>
        <w:tc>
          <w:tcPr>
            <w:tcW w:w="797" w:type="pct"/>
            <w:vAlign w:val="center"/>
          </w:tcPr>
          <w:p>
            <w:pPr>
              <w:jc w:val="left"/>
              <w:ind w:firstLine="0"/>
            </w:pPr>
          </w:p>
        </w:tc>
        <w:tc>
          <w:tcPr>
            <w:tcW w:w="1015" w:type="pct"/>
            <w:vAlign w:val="center"/>
          </w:tcPr>
          <w:p>
            <w:pPr>
              <w:jc w:val="left"/>
              <w:ind w:firstLine="0"/>
            </w:pPr>
          </w:p>
        </w:tc>
      </w:tr>
    </w:tbl>
    <w:p/>
    <w:p>
      <w:pPr>
        <w:ind w:firstLine="425"/>
      </w:pPr>
      <w:r>
        <w:t xml:space="preserve">Срок направления уведомления — не более трёх рабочих дней с даты события. Записи вносятся в день направления уведомления.</w:t>
      </w:r>
    </w:p>
    <w:p>
      <w:pPr>
        <w:ind w:firstLine="425"/>
      </w:pPr>
      <w:r>
        <w:t xml:space="preserve">Копии уведомлений с отметками о принятии хранятся вместе с настоящим журналом не менее трёх лет после прекращения трудового договора.</w:t>
      </w:r>
    </w:p>
    <w:p>
      <w:pPr>
        <w:ind w:firstLine="425"/>
      </w:pPr>
      <w:r>
        <w:t xml:space="preserve">Ответственный за ведение журнала Сидорова Анна Петровна______________________________ Подпись ______________________</w:t>
      </w:r>
    </w:p>
    <w:p>
      <w:pPr>
        <w:pageBreakBefore/>
      </w:pPr>
    </w:p>
    <w:p>
      <w:pPr>
        <w:jc w:val="right"/>
      </w:pPr>
      <w:r>
        <w:rPr>
          <w:b/>
        </w:rPr>
        <w:t xml:space="preserve">Приложение № 3 к документу</w:t>
      </w:r>
    </w:p>
    <w:p>
      <w:pPr>
        <w:pStyle w:val="DocTitle"/>
      </w:pPr>
      <w:r>
        <w:t xml:space="preserve">Лист ознакомления с локальными нормативными актами</w:t>
      </w:r>
    </w:p>
    <w:p>
      <w:pPr>
        <w:ind w:firstLine="425"/>
      </w:pPr>
      <w:r>
        <w:t xml:space="preserve">Приложение к трудовому договору. Ознакомление проводится до подписания трудового договора.</w:t>
      </w:r>
    </w:p>
    <w:p>
      <w:pPr>
        <w:ind w:firstLine="425"/>
      </w:pPr>
      <w:r>
        <w:t xml:space="preserve">Работник Петров Пётр Петрович ознакомлен с перечисленными ниже документами Работодателя Иванов Иван Иванович.</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82"/>
        <w:gridCol w:w="3374"/>
        <w:gridCol w:w="1928"/>
        <w:gridCol w:w="1928"/>
        <w:gridCol w:w="1928"/>
      </w:tblGrid>
      <w:tr>
        <w:tc>
          <w:tcPr>
            <w:tcW w:w="250" w:type="pct"/>
            <w:vAlign w:val="center"/>
          </w:tcPr>
          <w:p>
            <w:pPr>
              <w:jc w:val="center"/>
              <w:ind w:firstLine="0"/>
            </w:pPr>
            <w:r>
              <w:rPr>
                <w:b/>
              </w:rPr>
              <w:t xml:space="preserve">№</w:t>
            </w:r>
          </w:p>
        </w:tc>
        <w:tc>
          <w:tcPr>
            <w:tcW w:w="1750" w:type="pct"/>
            <w:vAlign w:val="center"/>
          </w:tcPr>
          <w:p>
            <w:pPr>
              <w:jc w:val="center"/>
              <w:ind w:firstLine="0"/>
            </w:pPr>
            <w:r>
              <w:rPr>
                <w:b/>
              </w:rPr>
              <w:t xml:space="preserve">Наименование локального нормативного акта</w:t>
            </w:r>
          </w:p>
        </w:tc>
        <w:tc>
          <w:tcPr>
            <w:tcW w:w="1000" w:type="pct"/>
            <w:vAlign w:val="center"/>
          </w:tcPr>
          <w:p>
            <w:pPr>
              <w:jc w:val="center"/>
              <w:ind w:firstLine="0"/>
            </w:pPr>
            <w:r>
              <w:rPr>
                <w:b/>
              </w:rPr>
              <w:t xml:space="preserve">Реквизиты (дата, номер)</w:t>
            </w:r>
          </w:p>
        </w:tc>
        <w:tc>
          <w:tcPr>
            <w:tcW w:w="1000" w:type="pct"/>
            <w:vAlign w:val="center"/>
          </w:tcPr>
          <w:p>
            <w:pPr>
              <w:jc w:val="center"/>
              <w:ind w:firstLine="0"/>
            </w:pPr>
            <w:r>
              <w:rPr>
                <w:b/>
              </w:rPr>
              <w:t xml:space="preserve">Дата ознакомления</w:t>
            </w:r>
          </w:p>
        </w:tc>
        <w:tc>
          <w:tcPr>
            <w:tcW w:w="1000" w:type="pct"/>
            <w:vAlign w:val="center"/>
          </w:tcPr>
          <w:p>
            <w:pPr>
              <w:jc w:val="center"/>
              <w:ind w:firstLine="0"/>
            </w:pPr>
            <w:r>
              <w:rPr>
                <w:b/>
              </w:rPr>
              <w:t xml:space="preserve">Подпись работника</w:t>
            </w: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r>
        <w:trPr>
          <w:trHeight w:val="397" w:hRule="atLeast"/>
        </w:trPr>
        <w:tc>
          <w:tcPr>
            <w:tcW w:w="250" w:type="pct"/>
            <w:vAlign w:val="center"/>
          </w:tcPr>
          <w:p>
            <w:pPr>
              <w:jc w:val="center"/>
              <w:ind w:firstLine="0"/>
            </w:pPr>
          </w:p>
        </w:tc>
        <w:tc>
          <w:tcPr>
            <w:tcW w:w="175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c>
          <w:tcPr>
            <w:tcW w:w="1000" w:type="pct"/>
            <w:vAlign w:val="center"/>
          </w:tcPr>
          <w:p>
            <w:pPr>
              <w:jc w:val="left"/>
              <w:ind w:firstLine="0"/>
            </w:pPr>
          </w:p>
        </w:tc>
      </w:tr>
    </w:tbl>
    <w:p/>
    <w:p>
      <w:pPr>
        <w:ind w:firstLine="425"/>
      </w:pPr>
      <w:r>
        <w:t xml:space="preserve">В перечень включается документ, конкретизирующий трудовые обязанности Работника: должностная инструкция повара горячего цеха от 10.01.2026.</w:t>
      </w:r>
    </w:p>
    <w:p>
      <w:pPr>
        <w:ind w:firstLine="425"/>
      </w:pPr>
      <w:r>
        <w:t xml:space="preserve">Работник подтверждает, что содержание указанных документов ему разъяснено на понятном ему языке.</w:t>
      </w:r>
    </w:p>
    <w:p>
      <w:pPr>
        <w:pStyle w:val="ClauseHeading"/>
      </w:pPr>
      <w:r>
        <w:rPr>
          <w:b/>
        </w:rPr>
        <w:t xml:space="preserve">23. Реквизиты и подписи сторон</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Работодатель</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Работодатель ____________ / Иванов И. И.</w:t>
            </w:r>
          </w:p>
        </w:tc>
        <w:tc>
          <w:tcPr>
            <w:tcW w:w="4820" w:type="dxa"/>
          </w:tcPr>
          <w:p>
            <w:pPr>
              <w:jc w:val="left"/>
            </w:pPr>
            <w:r>
              <w:rPr>
                <w:b/>
              </w:rPr>
              <w:t xml:space="preserve">Работник</w:t>
            </w:r>
          </w:p>
          <w:p>
            <w:pPr>
              <w:jc w:val="left"/>
            </w:pPr>
            <w:r>
              <w:t xml:space="preserve">Петров Пётр Петрович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Работник ____________ / Петров П. П.</w:t>
            </w:r>
          </w:p>
        </w:tc>
      </w:tr>
    </w:tbl>
    <w:p/>
    <w:p>
      <w:pPr>
        <w:spacing w:before="360"/>
        <w:pBdr>
          <w:top w:val="single" w:sz="4" w:space="6" w:color="CCCCCC"/>
        </w:pBdr>
        <w:jc w:val="left"/>
      </w:pPr>
      <w:r>
        <w:rPr>
          <w:i/>
          <w:sz w:val="16"/>
          <w:color w:val="808080"/>
        </w:rPr>
        <w:t xml:space="preserve">Образец заполнения «Трудовой договор с иностранцем» с сайта primadoc.ru. Документ, заполненный под вашу ситуацию, собирается в конструкторе: https://primadoc.ru/doc/trudovoy-dogovor-s-inostrancem</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Трудовой договор с иностранцем — образец заполнения</dc:title>
  <dc:creator>Примадок</dc:creator>
  <dcterms:created xsi:type="dcterms:W3CDTF">2026-09-11T20:59:55Z</dcterms:created>
</cp:coreProperties>
</file>