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Требование-накладная (форма М-11)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Шапка требования-накладной</w:t>
      </w:r>
    </w:p>
    <w:p>
      <w:pPr>
        <w:ind w:firstLine="425"/>
      </w:pPr>
      <w:r>
        <w:t xml:space="preserve">Требование-накладная № ______ от ______ фиксирует внутреннее движение материалов — со склада в подразделение, между подразделениями либо возврат на склад, а не отпуск за пределы организации.</w:t>
      </w:r>
    </w:p>
    <w:p>
      <w:pPr>
        <w:ind w:firstLine="425"/>
      </w:pPr>
      <w:r>
        <w:t xml:space="preserve">Состав реквизитов ориентирован на унифицированную форму № М-11, утверждённую Постановлением Госкомстата России от 30.10.1997 № 71а; форма не входит в перечень обязательных с 2013 года, поэтому графы адаптированы под конкретный учёт, но обязательные реквизиты первичного учётного документа сохранены (ст. 9 402-ФЗ).</w:t>
      </w:r>
    </w:p>
    <w:p>
      <w:pPr>
        <w:ind w:firstLine="425"/>
      </w:pPr>
      <w:r>
        <w:t xml:space="preserve">Организация: ______. Отправитель: ______, счёт учёта ______. Получатель: ______, счёт учёта ______.</w:t>
      </w:r>
    </w:p>
    <w:p>
      <w:pPr>
        <w:ind w:firstLine="425"/>
      </w:pPr>
      <w:r>
        <w:t xml:space="preserve">Основание отпуска: ______.</w:t>
      </w:r>
    </w:p>
    <w:p>
      <w:pPr>
        <w:pStyle w:val="ClauseHeading"/>
      </w:pPr>
      <w:r>
        <w:rPr>
          <w:b/>
        </w:rPr>
        <w:t xml:space="preserve">Чем требование-накладная отличается от накладной на отпуск на сторону</w:t>
      </w:r>
    </w:p>
    <w:p>
      <w:pPr>
        <w:ind w:firstLine="425"/>
      </w:pPr>
      <w:r>
        <w:t xml:space="preserve">Требование-накладная оформляет перемещение материалов внутри одного юридического лица: собственник материалов не меняется, меняется только подразделение-держатель и материально ответственное лицо.</w:t>
      </w:r>
    </w:p>
    <w:p>
      <w:pPr>
        <w:ind w:firstLine="425"/>
      </w:pPr>
      <w:r>
        <w:t xml:space="preserve">Если материалы фактически покидают организацию — передаются подрядчику, в другую организацию или на переработку стороннему лицу, — используют накладную на отпуск материалов на сторону, а не эту форму: там движение сопровождается корреспонденцией с внешним контрагентом, здесь — только между собственными счетами и подразделениями.</w:t>
      </w:r>
    </w:p>
    <w:p>
      <w:pPr>
        <w:ind w:firstLine="425"/>
      </w:pPr>
      <w:r>
        <w:t xml:space="preserve">Путаница между двумя формами опасна бухгалтерски: внутреннее перемещение, оформленное как отпуск на сторону, может ошибочно попасть в расчёты с контрагентами, которых по факту не было.</w:t>
      </w:r>
    </w:p>
    <w:p>
      <w:pPr>
        <w:pStyle w:val="ClauseHeading"/>
      </w:pPr>
      <w:r>
        <w:rPr>
          <w:b/>
        </w:rPr>
        <w:t xml:space="preserve">Выдача материалов в производство или подразделение</w:t>
      </w:r>
    </w:p>
    <w:p>
      <w:pPr>
        <w:ind w:firstLine="425"/>
      </w:pPr>
      <w:r>
        <w:t xml:space="preserve">Материалы списываются со счёта учёта отправителя ______ и принимаются к учёту на счёте затрат получателя ______. Проводка отражает встречное движение: кредит по счёту склада, дебет по счёту подразделения, принявшего материалы.</w:t>
      </w:r>
    </w:p>
    <w:p>
      <w:pPr>
        <w:ind w:firstLine="425"/>
      </w:pPr>
      <w:r>
        <w:t xml:space="preserve">Отпуск сверх лимита, установленного лимитно-заборной картой или нарядом, кладовщик вправе произвести только по отдельной резолюции лица, разрешающего отпуск: ______ ______. Такой сверхлимитный отпуск целесообразно дополнительно пояснить в графе «Основание», указав причину — замену бракованного материала, аварийный расход, изменение нормы.</w:t>
      </w:r>
    </w:p>
    <w:p>
      <w:pPr>
        <w:ind w:firstLine="425"/>
      </w:pPr>
      <w:r>
        <w:t xml:space="preserve">Пока накладная не подписана получателем, считать материалы списанными в расход подразделения нельзя — до этого момента ответственность за них несёт склад.</w:t>
      </w:r>
    </w:p>
    <w:p>
      <w:pPr>
        <w:pStyle w:val="ClauseHeading"/>
      </w:pPr>
      <w:r>
        <w:rPr>
          <w:b/>
        </w:rPr>
        <w:t xml:space="preserve">Возврат неизрасходованного остатка материалов</w:t>
      </w:r>
    </w:p>
    <w:p>
      <w:pPr>
        <w:ind w:firstLine="425"/>
      </w:pPr>
      <w:r>
        <w:t xml:space="preserve">Настоящая накладная оформляет обратное движение: подразделение ______ возвращает неизрасходованный остаток материалов на склад ______, выданных ранее по требованию-накладной № ______ от ______.</w:t>
      </w:r>
    </w:p>
    <w:p>
      <w:pPr>
        <w:ind w:firstLine="425"/>
      </w:pPr>
      <w:r>
        <w:t xml:space="preserve">Стоимость возвращённого остатка уменьшает сумму, ранее списанную на счёт затрат подразделения-получателя по исходной выдаче: делается обратная проводка на счёт ______ в кредит и сторно по счёту ______ в той же сумме, по которой материал был выдан.</w:t>
      </w:r>
    </w:p>
    <w:p>
      <w:pPr>
        <w:ind w:firstLine="425"/>
      </w:pPr>
      <w:r>
        <w:t xml:space="preserve">Без этой накладной возвращённый материал числится за подразделением как использованный, хотя фактически лежит на складе — расхождение обычно всплывает только при инвентаризации, когда объяснить его уже сложнее.</w:t>
      </w:r>
    </w:p>
    <w:p>
      <w:pPr>
        <w:pStyle w:val="ClauseHeading"/>
      </w:pPr>
      <w:r>
        <w:rPr>
          <w:b/>
        </w:rPr>
        <w:t xml:space="preserve">Возврат брака или некачественных материалов</w:t>
      </w:r>
    </w:p>
    <w:p>
      <w:pPr>
        <w:ind w:firstLine="425"/>
      </w:pPr>
      <w:r>
        <w:t xml:space="preserve">Материалы возвращаются на склад ______ как брак или как не соответствующие требованиям для использования в подразделении ______. Основание — исходная выдача по накладной № ______ от ______.</w:t>
      </w:r>
    </w:p>
    <w:p>
      <w:pPr>
        <w:ind w:firstLine="425"/>
      </w:pPr>
      <w:r>
        <w:t xml:space="preserve">Стоимость возвращённого брака аналогично уменьшает списание по счёту затрат подразделения-получателя ______: делается сторно на сумму возврата, а не списание в текущем периоде.</w:t>
      </w:r>
    </w:p>
    <w:p>
      <w:pPr>
        <w:ind w:firstLine="425"/>
      </w:pPr>
      <w:r>
        <w:t xml:space="preserve">Характер брака, партию и предполагаемого виновника фиксируют в приложении к настоящему документу (APP.DEFECT_ACT). Отдельный акт о браке нужен, если по результатам разбирательства предполагается удержание стоимости с виновного работника: сама накладная факт вины не устанавливает, а только фиксирует движение материала.</w:t>
      </w:r>
    </w:p>
    <w:p>
      <w:pPr>
        <w:pStyle w:val="ClauseHeading"/>
      </w:pPr>
      <w:r>
        <w:rPr>
          <w:b/>
        </w:rPr>
        <w:t xml:space="preserve">Ведомость материалов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896"/>
        <w:gridCol w:w="2370"/>
        <w:gridCol w:w="632"/>
        <w:gridCol w:w="1738"/>
        <w:gridCol w:w="1264"/>
        <w:gridCol w:w="1264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по номенклатуре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характеристика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Затребовано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Отпущено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Графу «Затребовано» заполняют по заявке подразделения, графу «Отпущено» — по факту выдачи со склада. Расхождение между ними кладовщик поясняет тут же в примечании к строке или отдельной служебной запиской, приложенной к накладной.</w:t>
      </w:r>
    </w:p>
    <w:p>
      <w:pPr>
        <w:ind w:firstLine="425"/>
      </w:pPr>
      <w:r>
        <w:t xml:space="preserve">Итоговую сумму по строке «Итого» сверяют с данными складского учёта до подписания документа получателем. Любые исправления после подписания вносят только новой строкой с отдельными подписями, а не правкой уже подписанных цифр.</w:t>
      </w:r>
    </w:p>
    <w:p>
      <w:pPr>
        <w:pStyle w:val="ClauseHeading"/>
      </w:pPr>
      <w:r>
        <w:rPr>
          <w:b/>
        </w:rPr>
        <w:t xml:space="preserve">Кто подписывает требование-накладную</w:t>
      </w:r>
    </w:p>
    <w:p>
      <w:pPr>
        <w:ind w:firstLine="425"/>
      </w:pPr>
      <w:r>
        <w:t xml:space="preserve">Затребовал: ______ ______.</w:t>
      </w:r>
    </w:p>
    <w:p>
      <w:pPr>
        <w:ind w:firstLine="425"/>
      </w:pPr>
      <w:r>
        <w:t xml:space="preserve">Разрешил отпуск: ______ ______.</w:t>
      </w:r>
    </w:p>
    <w:p>
      <w:pPr>
        <w:ind w:firstLine="425"/>
      </w:pPr>
      <w:r>
        <w:t xml:space="preserve">Отпустил: ______ ______.</w:t>
      </w:r>
    </w:p>
    <w:p>
      <w:pPr>
        <w:ind w:firstLine="425"/>
      </w:pPr>
      <w:r>
        <w:t xml:space="preserve">Получил: ______ ______.</w:t>
      </w:r>
    </w:p>
    <w:p>
      <w:pPr>
        <w:ind w:firstLine="425"/>
      </w:pPr>
      <w:r>
        <w:t xml:space="preserve">Четыре подписи разделяют ответственность по этапам: затребовавший фиксирует, что материал действительно нужен подразделению, разрешивший — что отпуск не превышает лимит и согласован, отпустивший — что со склада реально выдано указанное количество, получивший — что материал принят в указанном объёме и качестве.</w:t>
      </w:r>
    </w:p>
    <w:p>
      <w:pPr>
        <w:ind w:firstLine="425"/>
      </w:pPr>
      <w:r>
        <w:t xml:space="preserve">Без подписи получателя накладная не подтверждает факт передачи материалов, а без подписи разрешившего отпуск кладовщик отпускает материал без основания и рискует не доказать законность операции при проверке.</w:t>
      </w:r>
    </w:p>
    <w:p>
      <w:pPr>
        <w:pStyle w:val="ClauseHeading"/>
      </w:pPr>
      <w:r>
        <w:rPr>
          <w:b/>
        </w:rPr>
        <w:t xml:space="preserve">Контроль по корреспондирующим счетам</w:t>
      </w:r>
    </w:p>
    <w:p>
      <w:pPr>
        <w:ind w:firstLine="425"/>
      </w:pPr>
      <w:r>
        <w:t xml:space="preserve">Требование-накладная служит первичным документом для записи по счетам бухгалтерского учёта (ст. 9 402-ФЗ): списание со счёта отправителя ______ и принятие к учёту на счёте получателя ______ делаются одной датой — датой составления накладной, а не датой её последующей регистрации в учётной программе.</w:t>
      </w:r>
    </w:p>
    <w:p>
      <w:pPr>
        <w:ind w:firstLine="425"/>
      </w:pPr>
      <w:r>
        <w:t xml:space="preserve">Если документ фактически подписан позже даты отпуска материалов, разумно указывать в графе «Основание» фактическую дату отпуска отдельно — так проще снять вопросы при проверке хронологии первичных документов.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 выявленном браке при возврате материалов</w:t>
      </w:r>
    </w:p>
    <w:p>
      <w:pPr>
        <w:ind w:firstLine="425"/>
      </w:pPr>
      <w:r>
        <w:t xml:space="preserve">Приложение оформляют, если по требованию-накладной № ______ от ______ на склад ______ возвращается брак или материал, не пригодный к использованию в подразделении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956"/>
        <w:gridCol w:w="559"/>
        <w:gridCol w:w="1397"/>
        <w:gridCol w:w="2375"/>
        <w:gridCol w:w="2934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брака или несоответствия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Предполагаемый виновник (если установлен)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подписывают представитель подразделения-получателя, сдающий брак, и кладовщик, принимающий его на склад. Если виновник не установлен на месте, графу оставляют пустой до завершения служебного разбирательства — акт можно дооформить подписью позже, само возвращение материала это не задерживает.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«Требование-накладная (форма М-11)» с сайта primadoc.ru. Документ, заполненный под вашу ситуацию, собирается в конструкторе: https://primadoc.ru/doc/trebovanie-nakladnaya-forma-m-11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Требование-накладная (форма М-11) — пустой бланк</dc:title>
  <dc:creator>Примадок</dc:creator>
  <dcterms:created xsi:type="dcterms:W3CDTF">2026-09-13T13:43:13Z</dcterms:created>
</cp:coreProperties>
</file>