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Соглашение о рассрочке долга за ЖКУ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«Управляющая организация (ТСЖ, РСО)», а также __________, __________ г.р., паспорт __________, выдан __________ __________, зарегистрирован(-а) по адресу: __________, именуемый(-ая) в дальнейшем «Собственник (наниматель)»,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соглашения</w:t>
      </w:r>
    </w:p>
    <w:p>
      <w:pPr>
        <w:ind w:firstLine="425"/>
      </w:pPr>
      <w:r>
        <w:t xml:space="preserve">1.1. ______ (Должник) признаёт задолженность перед Кредитором — ______ — по оплате жилищно-коммунальных услуг по адресу: ______ (лицевой счёт ______) в размере ______ за период: ______.</w:t>
      </w:r>
    </w:p>
    <w:p>
      <w:pPr>
        <w:ind w:firstLine="425"/>
      </w:pPr>
      <w:r>
        <w:t xml:space="preserve">1.2. Начисленные на дату подписания соглашения пени составляют ______.</w:t>
      </w:r>
    </w:p>
    <w:p>
      <w:pPr>
        <w:ind w:firstLine="425"/>
      </w:pPr>
      <w:r>
        <w:t xml:space="preserve">1.3. Кредитор предоставляет Должнику рассрочку погашения задолженности на срок: ______.</w:t>
      </w:r>
    </w:p>
    <w:p>
      <w:pPr>
        <w:ind w:firstLine="425"/>
      </w:pPr>
      <w:r>
        <w:t xml:space="preserve">1.4. Обязанность по внесению платы за жилое помещение и коммунальные услуги возникает у собственника с момента возникновения права собственности, а у нанимателя — с момента заключения договора найма (ст. 153 ЖК РФ).</w:t>
      </w:r>
    </w:p>
    <w:p>
      <w:pPr>
        <w:ind w:firstLine="425"/>
      </w:pPr>
      <w:r>
        <w:t xml:space="preserve">1.5. Признание долга прерывает течение срока исковой давности; после перерыва срок начинает течь заново (ст. 203 ГК РФ).</w:t>
      </w:r>
    </w:p>
    <w:p>
      <w:pPr>
        <w:pStyle w:val="ClauseHeading"/>
      </w:pPr>
      <w:r>
        <w:rPr>
          <w:b/>
        </w:rPr>
        <w:t xml:space="preserve">2. График платежей</w:t>
      </w:r>
    </w:p>
    <w:p>
      <w:pPr>
        <w:ind w:firstLine="425"/>
      </w:pPr>
      <w:r>
        <w:t xml:space="preserve">2.1. Должник погашает задолженность равными платежами по ______ ежемесячно, ______, наряду с полной и своевременной оплатой текущих начислений.</w:t>
      </w:r>
    </w:p>
    <w:p>
      <w:pPr>
        <w:ind w:firstLine="425"/>
      </w:pPr>
      <w:r>
        <w:t xml:space="preserve">2.2. Судьба начисленных пеней: ______.</w:t>
      </w:r>
    </w:p>
    <w:p>
      <w:pPr>
        <w:ind w:firstLine="425"/>
      </w:pPr>
      <w:r>
        <w:t xml:space="preserve">2.3. Платежи засчитываются в погашение долга по графику при условии оплаты текущего месяца; назначение платежа Должник указывает в квитанции.</w:t>
      </w:r>
    </w:p>
    <w:p>
      <w:pPr>
        <w:ind w:firstLine="425"/>
      </w:pPr>
      <w:r>
        <w:t xml:space="preserve">2.4. Должник вправе досрочно погасить задолженность полностью или в части без каких-либо санкций и дополнительных согласований (ст. 309 ГК РФ).</w:t>
      </w:r>
    </w:p>
    <w:p>
      <w:pPr>
        <w:ind w:firstLine="425"/>
      </w:pPr>
      <w:r>
        <w:t xml:space="preserve">2.5. Исполнение обязательства подтверждается платёжными документами, которые Должник хранит в течение трёх лет со дня полного погашения задолженности.</w:t>
      </w:r>
    </w:p>
    <w:p>
      <w:pPr>
        <w:pStyle w:val="ClauseHeading"/>
      </w:pPr>
      <w:r>
        <w:rPr>
          <w:b/>
        </w:rPr>
        <w:t xml:space="preserve">3. Состав и основания задолженности</w:t>
      </w:r>
    </w:p>
    <w:p>
      <w:pPr>
        <w:ind w:firstLine="425"/>
      </w:pPr>
      <w:r>
        <w:t xml:space="preserve">3.1. Задолженность образовалась по следующим видам услуг и периодам: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205"/>
        <w:gridCol w:w="2410"/>
        <w:gridCol w:w="3615"/>
        <w:gridCol w:w="2410"/>
      </w:tblGrid>
      <w:tr>
        <w:tc>
          <w:tcPr>
            <w:tcW w:w="6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услуги</w:t>
            </w:r>
          </w:p>
        </w:tc>
        <w:tc>
          <w:tcPr>
            <w:tcW w:w="18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c>
          <w:tcPr>
            <w:tcW w:w="625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625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625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625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625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625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625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625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3.2. Плата за жилое помещение и коммунальные услуги включает плату за содержание жилого помещения, взнос на капитальный ремонт и плату за коммунальные услуги (ст. 154 ЖК РФ).</w:t>
      </w:r>
    </w:p>
    <w:p>
      <w:pPr>
        <w:ind w:firstLine="425"/>
      </w:pPr>
      <w:r>
        <w:t xml:space="preserve">3.3. Размер платы за коммунальные услуги определён по показаниям приборов учёта, а при их отсутствии или неисправности — по нормативам потребления (ст. 157 ЖК РФ).</w:t>
      </w:r>
    </w:p>
    <w:p>
      <w:pPr>
        <w:ind w:firstLine="425"/>
      </w:pPr>
      <w:r>
        <w:t xml:space="preserve">3.4. Должник подтверждает, что услуги за указанные периоды фактически оказаны, приняты им без замечаний и что заявлений о перерасчёте платы в связи с ненадлежащим качеством услуг он не подавал.</w:t>
      </w:r>
    </w:p>
    <w:p>
      <w:pPr>
        <w:ind w:firstLine="425"/>
      </w:pPr>
      <w:r>
        <w:t xml:space="preserve">3.5. Стороны провели сверку расчётов по лицевому счёту; расхождений в размере задолженности не выявлено.</w:t>
      </w:r>
    </w:p>
    <w:p>
      <w:pPr>
        <w:pStyle w:val="ClauseHeading"/>
      </w:pPr>
      <w:r>
        <w:rPr>
          <w:b/>
        </w:rPr>
        <w:t xml:space="preserve">4. Индивидуальный график погашения</w:t>
      </w:r>
    </w:p>
    <w:p>
      <w:pPr>
        <w:ind w:firstLine="425"/>
      </w:pPr>
      <w:r>
        <w:t xml:space="preserve">4.1. Способ погашения задолженности: ______.</w:t>
      </w:r>
    </w:p>
    <w:p>
      <w:pPr>
        <w:ind w:firstLine="425"/>
      </w:pPr>
      <w:r>
        <w:t xml:space="preserve">4.2. Стороны согласовали следующий график: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904"/>
        <w:gridCol w:w="2711"/>
        <w:gridCol w:w="3012"/>
        <w:gridCol w:w="3012"/>
      </w:tblGrid>
      <w:t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платежа</w:t>
            </w:r>
          </w:p>
        </w:tc>
        <w:tc>
          <w:tcPr>
            <w:tcW w:w="15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платежа, руб.</w:t>
            </w:r>
          </w:p>
        </w:tc>
        <w:tc>
          <w:tcPr>
            <w:tcW w:w="15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4.3. Платёж считается совершённым в день поступления денежных средств на расчётный счёт Кредитора либо в кассу Кредитора.</w:t>
      </w:r>
    </w:p>
    <w:p>
      <w:pPr>
        <w:ind w:firstLine="425"/>
      </w:pPr>
      <w:r>
        <w:t xml:space="preserve">4.4. Если день платежа приходится на выходной или нерабочий праздничный день, срок переносится на ближайший следующий рабочий день (ст. 314 ГК РФ).</w:t>
      </w:r>
    </w:p>
    <w:p>
      <w:pPr>
        <w:ind w:firstLine="425"/>
      </w:pPr>
      <w:r>
        <w:t xml:space="preserve">4.5. Изменение графика допускается по письменному соглашению сторон; устные договорённости об отсрочке отдельного платежа юридической силы не имеют.</w:t>
      </w:r>
    </w:p>
    <w:p>
      <w:pPr>
        <w:pStyle w:val="ClauseHeading"/>
      </w:pPr>
      <w:r>
        <w:rPr>
          <w:b/>
        </w:rPr>
        <w:t xml:space="preserve">5. Первоначальный взнос</w:t>
      </w:r>
    </w:p>
    <w:p>
      <w:pPr>
        <w:ind w:firstLine="425"/>
      </w:pPr>
      <w:r>
        <w:t xml:space="preserve">5.1. Должник уплачивает первоначальный взнос в размере ______ в срок до ______.</w:t>
      </w:r>
    </w:p>
    <w:p>
      <w:pPr>
        <w:ind w:firstLine="425"/>
      </w:pPr>
      <w:r>
        <w:t xml:space="preserve">5.2. Рассрочка предоставляется под условием уплаты первоначального взноса: до его поступления график остальных платежей не вступает в силу, а Кредитор сохраняет право на взыскание всей задолженности.</w:t>
      </w:r>
    </w:p>
    <w:p>
      <w:pPr>
        <w:ind w:firstLine="425"/>
      </w:pPr>
      <w:r>
        <w:t xml:space="preserve">5.3. Первоначальный взнос засчитывается в счёт погашения основного долга, а не пеней, если стороны прямо не согласовали иное.</w:t>
      </w:r>
    </w:p>
    <w:p>
      <w:pPr>
        <w:ind w:firstLine="425"/>
      </w:pPr>
      <w:r>
        <w:t xml:space="preserve">5.4. Остаток задолженности после уплаты взноса погашается в порядке, установленном разделом о графике платежей настоящего соглашения.</w:t>
      </w:r>
    </w:p>
    <w:p>
      <w:pPr>
        <w:pStyle w:val="ClauseHeading"/>
      </w:pPr>
      <w:r>
        <w:rPr>
          <w:b/>
        </w:rPr>
        <w:t xml:space="preserve">6. Текущие платежи и очерёдность зачёта</w:t>
      </w:r>
    </w:p>
    <w:p>
      <w:pPr>
        <w:ind w:firstLine="425"/>
      </w:pPr>
      <w:r>
        <w:t xml:space="preserve">6.1. Плата за жилое помещение и коммунальные услуги вносится ежемесячно до десятого числа месяца, следующего за истекшим, если иной срок не установлен договором управления или решением общего собрания (ст. 155 ЖК РФ).</w:t>
      </w:r>
    </w:p>
    <w:p>
      <w:pPr>
        <w:ind w:firstLine="425"/>
      </w:pPr>
      <w:r>
        <w:t xml:space="preserve">6.2. Рассрочка не освобождает Должника от внесения текущих платежей: их неуплата является самостоятельным нарушением настоящего соглашения.</w:t>
      </w:r>
    </w:p>
    <w:p>
      <w:pPr>
        <w:ind w:firstLine="425"/>
      </w:pPr>
      <w:r>
        <w:t xml:space="preserve">6.3. Должник в платёжном документе указывает период, за который вносится плата; при указании периода платёж засчитывается именно в счёт него.</w:t>
      </w:r>
    </w:p>
    <w:p>
      <w:pPr>
        <w:ind w:firstLine="425"/>
      </w:pPr>
      <w:r>
        <w:t xml:space="preserve">6.4. При отсутствии указания периода поступившая сумма засчитывается сначала в счёт текущих начислений за расчётный месяц, а оставшаяся часть — в счёт очередного платежа по графику.</w:t>
      </w:r>
    </w:p>
    <w:p>
      <w:pPr>
        <w:ind w:firstLine="425"/>
      </w:pPr>
      <w:r>
        <w:t xml:space="preserve">6.5. Суммы, поступившие сверх графика, засчитываются в счёт погашения основного долга и сокращают срок рассрочки, если Должник прямо не указал иное (ст. 319 ГК РФ).</w:t>
      </w:r>
    </w:p>
    <w:p>
      <w:pPr>
        <w:pStyle w:val="ClauseHeading"/>
      </w:pPr>
      <w:r>
        <w:rPr>
          <w:b/>
        </w:rPr>
        <w:t xml:space="preserve">7. Предоставление коммунальных услуг в период рассрочки</w:t>
      </w:r>
    </w:p>
    <w:p>
      <w:pPr>
        <w:ind w:firstLine="425"/>
      </w:pPr>
      <w:r>
        <w:t xml:space="preserve">7.1. При соблюдении Должником настоящего соглашения Кредитор не инициирует ограничение и приостановление предоставления коммунальных услуг по основанию наличия задолженности (ст. 117 пп рф 354).</w:t>
      </w:r>
    </w:p>
    <w:p>
      <w:pPr>
        <w:ind w:firstLine="425"/>
      </w:pPr>
      <w:r>
        <w:t xml:space="preserve">7.2. Заключение соглашения о погашении задолженности является основанием для возобновления предоставления услуг, ограниченных или приостановленных ранее; услуги возобновляются в течение двух календарных дней со дня подписания соглашения.</w:t>
      </w:r>
    </w:p>
    <w:p>
      <w:pPr>
        <w:ind w:firstLine="425"/>
      </w:pPr>
      <w:r>
        <w:t xml:space="preserve">7.3. Ограничение и приостановление предоставления услуг возможны только после письменного предупреждения Должника в установленном порядке и только в отношении услуг, приостановление которых допускается (ст. 119 пп рф 354).</w:t>
      </w:r>
    </w:p>
    <w:p>
      <w:pPr>
        <w:ind w:firstLine="425"/>
      </w:pPr>
      <w:r>
        <w:t xml:space="preserve">7.4. Приостановление предоставления коммунальных услуг не должно приводить к нарушению прав иных потребителей и к повреждению общего имущества многоквартирного дома (ст. 122 пп рф 354).</w:t>
      </w:r>
    </w:p>
    <w:p>
      <w:pPr>
        <w:ind w:firstLine="425"/>
      </w:pPr>
      <w:r>
        <w:t xml:space="preserve">7.5. Отопление и холодное водоснабжение приостановлению не подлежат.</w:t>
      </w:r>
    </w:p>
    <w:p>
      <w:pPr>
        <w:pStyle w:val="ClauseHeading"/>
      </w:pPr>
      <w:r>
        <w:rPr>
          <w:b/>
        </w:rPr>
        <w:t xml:space="preserve">8. Право на субсидию и компенсации</w:t>
      </w:r>
    </w:p>
    <w:p>
      <w:pPr>
        <w:ind w:firstLine="425"/>
      </w:pPr>
      <w:r>
        <w:t xml:space="preserve">8.1. Наличие настоящего соглашения и его надлежащее исполнение не лишают Должника права на получение субсидии на оплату жилого помещения и коммунальных услуг (ст. 159 ЖК РФ).</w:t>
      </w:r>
    </w:p>
    <w:p>
      <w:pPr>
        <w:ind w:firstLine="425"/>
      </w:pPr>
      <w:r>
        <w:t xml:space="preserve">8.2. Заключённое соглашение о погашении задолженности учитывается уполномоченным органом при решении вопроса о предоставлении субсидии наравне с отсутствием задолженности.</w:t>
      </w:r>
    </w:p>
    <w:p>
      <w:pPr>
        <w:ind w:firstLine="425"/>
      </w:pPr>
      <w:r>
        <w:t xml:space="preserve">8.3. Кредитор по письменному запросу Должника в течение пяти рабочих дней выдаёт справку о наличии соглашения и об отсутствии нарушений графика.</w:t>
      </w:r>
    </w:p>
    <w:p>
      <w:pPr>
        <w:ind w:firstLine="425"/>
      </w:pPr>
      <w:r>
        <w:t xml:space="preserve">8.4. Право на компенсацию расходов на оплату жилого помещения и коммунальных услуг у отдельных категорий граждан сохраняется независимо от наличия рассрочки (ст. 160 ЖК РФ).</w:t>
      </w:r>
    </w:p>
    <w:p>
      <w:pPr>
        <w:pStyle w:val="ClauseHeading"/>
      </w:pPr>
      <w:r>
        <w:rPr>
          <w:b/>
        </w:rPr>
        <w:t xml:space="preserve">9. Уведомления сторон</w:t>
      </w:r>
    </w:p>
    <w:p>
      <w:pPr>
        <w:ind w:firstLine="425"/>
      </w:pPr>
      <w:r>
        <w:t xml:space="preserve">9.1. Уведомления направляются по адресам, указанным в разделе реквизитов, заказным письмом с уведомлением о вручении либо вручаются под расписку.</w:t>
      </w:r>
    </w:p>
    <w:p>
      <w:pPr>
        <w:ind w:firstLine="425"/>
      </w:pPr>
      <w:r>
        <w:t xml:space="preserve">9.2. Сообщение считается доставленным и в тех случаях, когда оно поступило стороне, но по зависящим от неё обстоятельствам не было ей вручено или сторона с ним не ознакомилась (ст. 165.1 ГК РФ).</w:t>
      </w:r>
    </w:p>
    <w:p>
      <w:pPr>
        <w:ind w:firstLine="425"/>
      </w:pPr>
      <w:r>
        <w:t xml:space="preserve">9.3. Дополнительный способ обмена сообщениями: ______.</w:t>
      </w:r>
    </w:p>
    <w:p>
      <w:pPr>
        <w:ind w:firstLine="425"/>
      </w:pPr>
      <w:r>
        <w:t xml:space="preserve">9.4. Такой обмен не заменяет направление документов почтой в случаях, когда требуется подтверждение вручения.</w:t>
      </w:r>
    </w:p>
    <w:p>
      <w:pPr>
        <w:ind w:firstLine="425"/>
      </w:pPr>
      <w:r>
        <w:t xml:space="preserve">9.5. О смене адреса и контактных данных сторона уведомляет другую сторону в течение пяти рабочих дней.</w:t>
      </w:r>
    </w:p>
    <w:p>
      <w:pPr>
        <w:pStyle w:val="ClauseHeading"/>
      </w:pPr>
      <w:r>
        <w:rPr>
          <w:b/>
        </w:rPr>
        <w:t xml:space="preserve">10. Заключительные положения</w:t>
      </w:r>
    </w:p>
    <w:p>
      <w:pPr>
        <w:ind w:firstLine="425"/>
      </w:pPr>
      <w:r>
        <w:t xml:space="preserve">10.1. Соглашение не является новацией: обязательство по оплате жилого помещения и коммунальных услуг сохраняется на прежних основаниях, изменяются лишь сроки его исполнения (ст. 414 ГК РФ).</w:t>
      </w:r>
    </w:p>
    <w:p>
      <w:pPr>
        <w:ind w:firstLine="425"/>
      </w:pPr>
      <w:r>
        <w:t xml:space="preserve">10.2. Соглашение вступает в силу с момента подписания сторонами и действует до полного исполнения Должником обязательств по погашению задолженности.</w:t>
      </w:r>
    </w:p>
    <w:p>
      <w:pPr>
        <w:ind w:firstLine="425"/>
      </w:pPr>
      <w:r>
        <w:t xml:space="preserve">10.3. Обязательство прекращается его надлежащим исполнением; полное погашение задолженности подтверждается справкой Кредитора об отсутствии задолженности, выдаваемой по требованию Должника в течение пяти рабочих дней (ст. 407 ГК РФ).</w:t>
      </w:r>
    </w:p>
    <w:p>
      <w:pPr>
        <w:ind w:firstLine="425"/>
      </w:pPr>
      <w:r>
        <w:t xml:space="preserve">10.4. Все изменения и дополнения к соглашению действительны, если совершены в письменной форме и подписаны обеими сторонами.</w:t>
      </w:r>
    </w:p>
    <w:p>
      <w:pPr>
        <w:ind w:firstLine="425"/>
      </w:pPr>
      <w:r>
        <w:t xml:space="preserve">10.5. Соглашение составлено в двух экземплярах, имеющих равную юридическую силу, по одному для каждой стороны.</w:t>
      </w:r>
    </w:p>
    <w:p>
      <w:pPr>
        <w:ind w:firstLine="425"/>
      </w:pPr>
      <w:r>
        <w:t xml:space="preserve">10.6. Приложения к настоящему соглашению являются его неотъемлемой частью.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Акт сверки расчётов</w:t>
      </w:r>
    </w:p>
    <w:p>
      <w:pPr>
        <w:ind w:firstLine="425"/>
      </w:pPr>
      <w:r>
        <w:t xml:space="preserve">Акт сверки подтверждает согласованный сторонами размер задолженности на дату заключения соглашения и исключает последующий спор о сумме.</w:t>
      </w:r>
    </w:p>
    <w:p>
      <w:pPr>
        <w:ind w:firstLine="425"/>
      </w:pPr>
      <w:r>
        <w:t xml:space="preserve">АКТ</w:t>
      </w:r>
    </w:p>
    <w:p>
      <w:pPr>
        <w:ind w:firstLine="425"/>
      </w:pPr>
      <w:r>
        <w:t xml:space="preserve">сверки расчётов по лицевому счёту ______</w:t>
      </w:r>
    </w:p>
    <w:p>
      <w:pPr>
        <w:ind w:firstLine="425"/>
      </w:pPr>
      <w:r>
        <w:t xml:space="preserve">Кредитор: ______, ______</w:t>
      </w:r>
    </w:p>
    <w:p>
      <w:pPr>
        <w:ind w:firstLine="425"/>
      </w:pPr>
      <w:r>
        <w:t xml:space="preserve">Должник: ______, ______</w:t>
      </w:r>
    </w:p>
    <w:p>
      <w:pPr>
        <w:ind w:firstLine="425"/>
      </w:pPr>
      <w:r>
        <w:t xml:space="preserve">Помещение: ______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90"/>
        <w:gridCol w:w="1770"/>
        <w:gridCol w:w="1967"/>
        <w:gridCol w:w="1770"/>
        <w:gridCol w:w="3541"/>
      </w:tblGrid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Расчётный период</w:t>
            </w:r>
          </w:p>
        </w:tc>
        <w:tc>
          <w:tcPr>
            <w:tcW w:w="10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Начислено, руб.</w:t>
            </w:r>
          </w:p>
        </w:tc>
        <w:tc>
          <w:tcPr>
            <w:tcW w:w="9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Оплачено, руб.</w:t>
            </w:r>
          </w:p>
        </w:tc>
        <w:tc>
          <w:tcPr>
            <w:tcW w:w="183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Задолженность на конец периода, руб.</w:t>
            </w: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признанная задолженность: ______. Пени на дату сверки: ______.</w:t>
      </w:r>
    </w:p>
    <w:p>
      <w:pPr>
        <w:ind w:firstLine="425"/>
      </w:pPr>
      <w:r>
        <w:t xml:space="preserve">Стороны подтверждают, что иных расхождений по лицевому счёту не имеется.</w:t>
      </w:r>
    </w:p>
    <w:p>
      <w:pPr>
        <w:ind w:firstLine="425"/>
      </w:pPr>
      <w:r>
        <w:t xml:space="preserve">От Кредитора: ____________________ / ____________________ /</w:t>
      </w:r>
    </w:p>
    <w:p>
      <w:pPr>
        <w:ind w:firstLine="425"/>
      </w:pPr>
      <w:r>
        <w:t xml:space="preserve">Должник: ____________________ / ____________________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Отметки об исполнении графика</w:t>
      </w:r>
    </w:p>
    <w:p>
      <w:pPr>
        <w:ind w:firstLine="425"/>
      </w:pPr>
      <w:r>
        <w:t xml:space="preserve">Лист заполняется по мере внесения платежей и хранится у Должника вместе с платёжными документами. Отметки Кредитора подтверждают отсутствие нарушений графика.</w:t>
      </w:r>
    </w:p>
    <w:p>
      <w:pPr>
        <w:ind w:firstLine="425"/>
      </w:pPr>
      <w:r>
        <w:t xml:space="preserve">ЛИСТ</w:t>
      </w:r>
    </w:p>
    <w:p>
      <w:pPr>
        <w:ind w:firstLine="425"/>
      </w:pPr>
      <w:r>
        <w:t xml:space="preserve">учёта платежей по соглашению о рассрочке</w:t>
      </w:r>
    </w:p>
    <w:p>
      <w:pPr>
        <w:ind w:firstLine="425"/>
      </w:pPr>
      <w:r>
        <w:t xml:space="preserve">Лицевой счёт: ______. Помещение: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90"/>
        <w:gridCol w:w="1770"/>
        <w:gridCol w:w="2164"/>
        <w:gridCol w:w="2361"/>
        <w:gridCol w:w="2754"/>
      </w:tblGrid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по графику</w:t>
            </w:r>
          </w:p>
        </w:tc>
        <w:tc>
          <w:tcPr>
            <w:tcW w:w="11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по графику, руб.</w:t>
            </w:r>
          </w:p>
        </w:tc>
        <w:tc>
          <w:tcPr>
            <w:tcW w:w="12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фактической оплаты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Остаток задолженности, руб.</w:t>
            </w: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Отметка Кредитора об исполнении графика в полном объёме: ____________________</w:t>
      </w:r>
    </w:p>
    <w:p>
      <w:pPr>
        <w:ind w:firstLine="425"/>
      </w:pPr>
      <w:r>
        <w:t xml:space="preserve">От Кредитора: ____________________ / ____________________ /</w:t>
      </w:r>
    </w:p>
    <w:p>
      <w:pPr>
        <w:ind w:firstLine="425"/>
      </w:pPr>
      <w:r>
        <w:t xml:space="preserve">Должник: ____________________ / ____________________ /</w:t>
      </w:r>
    </w:p>
    <w:p>
      <w:pPr>
        <w:pStyle w:val="ClauseHeading"/>
      </w:pPr>
      <w:r>
        <w:rPr>
          <w:b/>
        </w:rPr>
        <w:t xml:space="preserve">11.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Управляющая организация (ТСЖ, РСО)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Управляющая организация (ТСЖ, РСО)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Собственник (наниматель)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Собственник (наниматель)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«Соглашение о рассрочке долга за ЖКУ» с сайта primadoc.ru. Документ, заполненный под вашу ситуацию, собирается в конструкторе: https://primadoc.ru/doc/soglashenie-o-rassrochke-dolga-za-zhku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Соглашение о рассрочке долга за ЖКУ — пустой бланк</dc:title>
  <dc:creator>Примадок</dc:creator>
  <dcterms:created xsi:type="dcterms:W3CDTF">2026-09-12T08:05:33Z</dcterms:created>
</cp:coreProperties>
</file>