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«Ромашка»</w:t>
      </w:r>
    </w:p>
    <w:p>
      <w:pPr>
        <w:ind w:left="4820"/>
        <w:jc w:val="left"/>
      </w:pPr>
      <w:r>
        <w:t xml:space="preserve">ИНН 7701234567, ОГРН 1157746123456</w:t>
      </w:r>
    </w:p>
    <w:p>
      <w:pPr>
        <w:ind w:left="4820"/>
        <w:jc w:val="left"/>
      </w:pPr>
      <w:r>
        <w:t xml:space="preserve">г. Москва, ул. Ленина, д. 1, кв. 1</w:t>
      </w:r>
    </w:p>
    <w:p>
      <w:pPr>
        <w:ind w:left="4820"/>
        <w:jc w:val="left"/>
      </w:pPr>
      <w:r>
        <w:t xml:space="preserve">УТВЕРЖДЕНО</w:t>
      </w:r>
    </w:p>
    <w:p>
      <w:pPr>
        <w:ind w:left="4820"/>
        <w:jc w:val="left"/>
      </w:pPr>
      <w:r>
        <w:t xml:space="preserve">Приказом ООО «Ромашка»</w:t>
      </w:r>
    </w:p>
    <w:p>
      <w:pPr>
        <w:ind w:left="4820"/>
        <w:jc w:val="left"/>
      </w:pPr>
      <w:r>
        <w:t xml:space="preserve">от 01.01.2026 № [№]</w:t>
      </w:r>
    </w:p>
    <w:p>
      <w:pPr>
        <w:pStyle w:val="DocTitle"/>
      </w:pPr>
      <w:r>
        <w:t xml:space="preserve">ПОЛИТИКА ИНФОРМАЦИОННОЙ БЕЗОПАСНОСТИ</w:t>
      </w:r>
    </w:p>
    <w:p>
      <w:pPr>
        <w:jc w:val="center"/>
        <w:spacing w:after="160"/>
      </w:pPr>
      <w:r>
        <w:t xml:space="preserve">{{field.org_name}}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положения</w:t>
      </w:r>
    </w:p>
    <w:p>
      <w:pPr>
        <w:ind w:firstLine="425"/>
      </w:pPr>
      <w:r>
        <w:t xml:space="preserve">1.1. Настоящая Политика информационной безопасности (далее — Политика) разработана в соответствии с требованиями Федерального закона от 27.07.2006 № 152-ФЗ «О персональных данных» (далее — ФЗ-152), Постановления Правительства РФ от 01.11.2012 № 1119 «Об утверждении требований к защите персональных данных при их обработке в информационных системах персональных данных», Приказа ФСТЭК России от 18.02.2013 № 21 «Об утверждении состава и содержания организационных и технических мер по обеспечению безопасности персональных данных».</w:t>
      </w:r>
    </w:p>
    <w:p>
      <w:pPr>
        <w:ind w:firstLine="425"/>
      </w:pPr>
      <w:r>
        <w:t xml:space="preserve">1.2. Политика распространяется на все информационные системы, бизнес-процессы, структурные подразделения и работников ООО «Ромашка» (далее — Организация), а также на третьих лиц, которым предоставлен доступ к информационным ресурсам Организации на основании договора.</w:t>
      </w:r>
    </w:p>
    <w:p>
      <w:pPr>
        <w:ind w:firstLine="425"/>
      </w:pPr>
      <w:r>
        <w:t xml:space="preserve">1.3. Цели Политики: обеспечение конфиденциальности, целостности и доступности информационных активов Организации; снижение рисков несанкционированного доступа, утечки, уничтожения или модификации персональных данных и коммерческой тайны; соблюдение требований действующего законодательства в сфере информационной безопасности.</w:t>
      </w:r>
    </w:p>
    <w:p>
      <w:pPr>
        <w:ind w:firstLine="425"/>
      </w:pPr>
      <w:r>
        <w:t xml:space="preserve">1.4. Ответственным за реализацию настоящей Политики является Иванов Иван Иванович (Генеральный Директор), контакт: info@example.ru.</w:t>
      </w:r>
    </w:p>
    <w:p>
      <w:pPr>
        <w:pStyle w:val="ClauseHeading"/>
      </w:pPr>
      <w:r>
        <w:rPr>
          <w:b/>
        </w:rPr>
        <w:t xml:space="preserve">2. Классификация информационных активов</w:t>
      </w:r>
    </w:p>
    <w:p>
      <w:pPr>
        <w:ind w:firstLine="425"/>
      </w:pPr>
      <w:r>
        <w:t xml:space="preserve">2.1. Все информационные активы Организации подразделяются на следующие категории:</w:t>
      </w:r>
    </w:p>
    <w:p>
      <w:pPr>
        <w:pStyle w:val="ClauseHeading"/>
      </w:pPr>
      <w:r>
        <w:rPr>
          <w:b/>
        </w:rPr>
        <w:t xml:space="preserve">3. Управление доступом</w:t>
      </w:r>
    </w:p>
    <w:p>
      <w:pPr>
        <w:ind w:firstLine="425"/>
      </w:pPr>
      <w:r>
        <w:t xml:space="preserve">3.1. Доступ к информационным системам Организации предоставляется по принципу минимально необходимых привилегий (need-to-know / least privilege).</w:t>
      </w:r>
    </w:p>
    <w:p>
      <w:pPr>
        <w:ind w:firstLine="425"/>
      </w:pPr>
      <w:r>
        <w:t xml:space="preserve">3.2. Матрица доступа утверждается приказом руководителя и пересматривается не реже одного раза в год.</w:t>
      </w:r>
    </w:p>
    <w:p>
      <w:pPr>
        <w:ind w:firstLine="425"/>
      </w:pPr>
      <w:r>
        <w:t xml:space="preserve">3.3. Двухфакторная аутентификация (2FA): не применяется.</w:t>
      </w:r>
    </w:p>
    <w:p>
      <w:pPr>
        <w:ind w:firstLine="425"/>
      </w:pPr>
      <w:r>
        <w:t xml:space="preserve">3.4. Для систем, содержащих персональные данные, применение 2FA является обязательным требованием Приказа ФСТЭК № 21 (мера ИАФ.2).</w:t>
      </w:r>
    </w:p>
    <w:p>
      <w:pPr>
        <w:ind w:firstLine="425"/>
      </w:pPr>
      <w:r>
        <w:t xml:space="preserve">3.5. Учётные записи уволенных и переведённых работников блокируются в течение одного рабочего дня с момента издания соответствующего приказа.</w:t>
      </w:r>
    </w:p>
    <w:p>
      <w:pPr>
        <w:ind w:firstLine="425"/>
      </w:pPr>
      <w:r>
        <w:t xml:space="preserve">3.6. Пароли должны соответствовать требованиям: длина не менее 8 символов, наличие букв верхнего и нижнего регистра, цифр и специальных символов; срок действия пароля — не более 90 дней; запрет повторного использования последних 5 паролей.</w:t>
      </w:r>
    </w:p>
    <w:p>
      <w:pPr>
        <w:ind w:firstLine="425"/>
      </w:pPr>
      <w:r>
        <w:t xml:space="preserve">3.7. Журналы событий доступа к информационным системам: не ведутся.</w:t>
      </w:r>
    </w:p>
    <w:p>
      <w:pPr>
        <w:pStyle w:val="ClauseHeading"/>
      </w:pPr>
      <w:r>
        <w:rPr>
          <w:b/>
        </w:rPr>
        <w:t xml:space="preserve">4. Технические меры защиты</w:t>
      </w:r>
    </w:p>
    <w:p>
      <w:pPr>
        <w:ind w:firstLine="425"/>
      </w:pPr>
      <w:r>
        <w:t xml:space="preserve">4.1. Антивирусная защита: не применяется.</w:t>
      </w:r>
    </w:p>
    <w:p>
      <w:pPr>
        <w:ind w:firstLine="425"/>
      </w:pPr>
      <w:r>
        <w:t xml:space="preserve">4.2. Антивирусные базы обновляются не реже одного раза в сутки.</w:t>
      </w:r>
    </w:p>
    <w:p>
      <w:pPr>
        <w:ind w:firstLine="425"/>
      </w:pPr>
      <w:r>
        <w:t xml:space="preserve">4.3. Полное сканирование рабочих станций и серверов проводится не реже одного раза в неделю.</w:t>
      </w:r>
    </w:p>
    <w:p>
      <w:pPr>
        <w:ind w:firstLine="425"/>
      </w:pPr>
      <w:r>
        <w:t xml:space="preserve">4.4. Межсетевое экранирование: не применяется.</w:t>
      </w:r>
    </w:p>
    <w:p>
      <w:pPr>
        <w:ind w:firstLine="425"/>
      </w:pPr>
      <w:r>
        <w:t xml:space="preserve">4.5. Межсетевой экран обеспечивает фильтрацию входящего и исходящего трафика согласно утверждённым правилам.</w:t>
      </w:r>
    </w:p>
    <w:p>
      <w:pPr>
        <w:ind w:firstLine="425"/>
      </w:pPr>
      <w:r>
        <w:t xml:space="preserve">4.6. Все неиспользуемые порты и протоколы заблокированы.</w:t>
      </w:r>
    </w:p>
    <w:p>
      <w:pPr>
        <w:ind w:firstLine="425"/>
      </w:pPr>
      <w:r>
        <w:t xml:space="preserve">4.7. Система обнаружения и предотвращения вторжений (IDS/IPS): не применяется.</w:t>
      </w:r>
    </w:p>
    <w:p>
      <w:pPr>
        <w:ind w:firstLine="425"/>
      </w:pPr>
      <w:r>
        <w:t xml:space="preserve">4.8. Шифрование при передаче данных: применяется.</w:t>
      </w:r>
    </w:p>
    <w:p>
      <w:pPr>
        <w:ind w:firstLine="425"/>
      </w:pPr>
      <w:r>
        <w:t xml:space="preserve">4.9. Для передачи персональных данных по открытым каналам связи применяется TLS 1.2 или выше.</w:t>
      </w:r>
    </w:p>
    <w:p>
      <w:pPr>
        <w:ind w:firstLine="425"/>
      </w:pPr>
      <w:r>
        <w:t xml:space="preserve">4.10. Шифрование данных на хранении: не применяется.</w:t>
      </w:r>
    </w:p>
    <w:p>
      <w:pPr>
        <w:ind w:firstLine="425"/>
      </w:pPr>
      <w:r>
        <w:t xml:space="preserve">4.11. Базы данных, содержащие персональные данные, хранятся в зашифрованном виде.</w:t>
      </w:r>
    </w:p>
    <w:p>
      <w:pPr>
        <w:ind w:firstLine="425"/>
      </w:pPr>
      <w:r>
        <w:t xml:space="preserve">4.12. Резервное копирование: не применяется.</w:t>
      </w:r>
    </w:p>
    <w:p>
      <w:pPr>
        <w:ind w:firstLine="425"/>
      </w:pPr>
      <w:r>
        <w:t xml:space="preserve">4.13. Резервные копии создаются автоматически не реже одного раза в сутки.</w:t>
      </w:r>
    </w:p>
    <w:p>
      <w:pPr>
        <w:ind w:firstLine="425"/>
      </w:pPr>
      <w:r>
        <w:t xml:space="preserve">4.14. Хранение резервных копий — не менее 30 дней.</w:t>
      </w:r>
    </w:p>
    <w:p>
      <w:pPr>
        <w:ind w:firstLine="425"/>
      </w:pPr>
      <w:r>
        <w:t xml:space="preserve">4.15. Проверка восстановления — не реже одного раза в квартал.</w:t>
      </w:r>
    </w:p>
    <w:p>
      <w:pPr>
        <w:ind w:firstLine="425"/>
      </w:pPr>
      <w:r>
        <w:t xml:space="preserve">4.16. Система предотвращения утечек данных (DLP): не применяется.</w:t>
      </w:r>
    </w:p>
    <w:p>
      <w:pPr>
        <w:ind w:firstLine="425"/>
      </w:pPr>
      <w:r>
        <w:t xml:space="preserve">4.17. Физическая безопасность серверных помещений: не реализована.</w:t>
      </w:r>
    </w:p>
    <w:p>
      <w:pPr>
        <w:ind w:firstLine="425"/>
      </w:pPr>
      <w:r>
        <w:t xml:space="preserve">4.18. Доступ в серверные помещения ограничен — разрешён только авторизованным лицам по утверждённому перечню.</w:t>
      </w:r>
    </w:p>
    <w:p>
      <w:pPr>
        <w:pStyle w:val="ClauseHeading"/>
      </w:pPr>
      <w:r>
        <w:rPr>
          <w:b/>
        </w:rPr>
        <w:t xml:space="preserve">5. Управление уязвимостями и обновлениями</w:t>
      </w:r>
    </w:p>
    <w:p>
      <w:pPr>
        <w:ind w:firstLine="425"/>
      </w:pPr>
      <w:r>
        <w:t xml:space="preserve">5.1. Обновления операционных систем и программного обеспечения устанавливаются в течение 72 часов с момента выхода критических патчей безопасности, некритических — в плановом порядке (не реже одного раза в месяц).</w:t>
      </w:r>
    </w:p>
    <w:p>
      <w:pPr>
        <w:ind w:firstLine="425"/>
      </w:pPr>
      <w:r>
        <w:t xml:space="preserve">5.2. Сканирование уязвимостей информационных систем проводится не реже одного раза в квартал с использованием сертифицированных ФСТЭК инструментальных средств.</w:t>
      </w:r>
    </w:p>
    <w:p>
      <w:pPr>
        <w:ind w:firstLine="425"/>
      </w:pPr>
      <w:r>
        <w:t xml:space="preserve">5.3. Пентест (тест на проникновение) проводится не реже одного раза в год привлечёнными специалистами или службой ИБ.</w:t>
      </w:r>
    </w:p>
    <w:p>
      <w:pPr>
        <w:pStyle w:val="ClauseHeading"/>
      </w:pPr>
      <w:r>
        <w:rPr>
          <w:b/>
        </w:rPr>
        <w:t xml:space="preserve">6. Ответственность работников</w:t>
      </w:r>
    </w:p>
    <w:p>
      <w:pPr>
        <w:ind w:firstLine="425"/>
      </w:pPr>
      <w:r>
        <w:t xml:space="preserve">6.1. Каждый работник, имеющий доступ к персональным данным и иной охраняемой информации, обязан: соблюдать требования настоящей Политики и локальных нормативных актов по защите ПДн; не допускать несанкционированного разглашения, копирования или уничтожения данных; незамедлительно сообщать о выявленных инцидентах ИБ ответственному Иванов Иван Иванович.</w:t>
      </w:r>
    </w:p>
    <w:p>
      <w:pPr>
        <w:ind w:firstLine="425"/>
      </w:pPr>
      <w:r>
        <w:t xml:space="preserve">6.2. За нарушение требований настоящей Политики работник несёт дисциплинарную, административную (ст. 13.11 КоАП РФ — штраф до 18 млн рублей для юрлиц по 572-ФЗ от 30.11.2024) и уголовную ответственность (ст. 137 УК РФ).</w:t>
      </w:r>
    </w:p>
    <w:p>
      <w:pPr>
        <w:ind w:firstLine="425"/>
      </w:pPr>
      <w:r>
        <w:t xml:space="preserve">6.3. Инструктаж работников по вопросам информационной безопасности проводится при приёме на работу и не реже одного раза в год.</w:t>
      </w:r>
    </w:p>
    <w:p>
      <w:pPr>
        <w:pStyle w:val="ClauseHeading"/>
      </w:pPr>
      <w:r>
        <w:rPr>
          <w:b/>
        </w:rPr>
        <w:t xml:space="preserve">7. Реагирование на инциденты</w:t>
      </w:r>
    </w:p>
    <w:p>
      <w:pPr>
        <w:ind w:firstLine="425"/>
      </w:pPr>
      <w:r>
        <w:t xml:space="preserve">7.1. При обнаружении инцидента информационной безопасности работник обязан немедленно уведомить Иванов Иван Иванович по адресу info@example.ru или телефону +7 (900) 000-00-00.</w:t>
      </w:r>
    </w:p>
    <w:p>
      <w:pPr>
        <w:ind w:firstLine="425"/>
      </w:pPr>
      <w:r>
        <w:t xml:space="preserve">7.2. В случае если инцидент связан с утечкой или несанкционированным доступом к персональным данным, Оператор уведомляет Роскомнадзор в течение 24 часов после обнаружения инцидента, а результаты расследования — в течение 72 часов (ч. 3.1 ст. 21 ФЗ-152; Приказ РКН № 276 от 25.07.2024).</w:t>
      </w:r>
    </w:p>
    <w:p>
      <w:pPr>
        <w:ind w:firstLine="425"/>
      </w:pPr>
      <w:r>
        <w:t xml:space="preserve">7.3. Все инциденты ИБ регистрируются в Журнале учёта инцидентов безопасности ПДн.</w:t>
      </w:r>
    </w:p>
    <w:p>
      <w:pPr>
        <w:pStyle w:val="ClauseHeading"/>
      </w:pPr>
      <w:r>
        <w:rPr>
          <w:b/>
        </w:rPr>
        <w:t xml:space="preserve">8. Аудит информационной безопасности</w:t>
      </w:r>
    </w:p>
    <w:p>
      <w:pPr>
        <w:ind w:firstLine="425"/>
      </w:pPr>
      <w:r>
        <w:t xml:space="preserve">8.1. Внутренний аудит ИБ проводится не реже одного раза в год ответственным Иванов Иван Иванович или привлечённой организацией.</w:t>
      </w:r>
    </w:p>
    <w:p>
      <w:pPr>
        <w:ind w:firstLine="425"/>
      </w:pPr>
      <w:r>
        <w:t xml:space="preserve">8.2. По результатам аудита составляется акт с перечнем выявленных несоответствий и планом корректирующих мероприятий.</w:t>
      </w:r>
    </w:p>
    <w:p>
      <w:pPr>
        <w:ind w:firstLine="425"/>
      </w:pPr>
      <w:r>
        <w:t xml:space="preserve">8.3. Оценка эффективности принятых мер защиты ПДн проводится не реже одного раза в три года в соответствии с ч. 4 ст. 19 ФЗ-152.</w:t>
      </w:r>
    </w:p>
    <w:p>
      <w:pPr>
        <w:pStyle w:val="ClauseHeading"/>
      </w:pPr>
      <w:r>
        <w:rPr>
          <w:b/>
        </w:rPr>
        <w:t xml:space="preserve">9. Пересмотр Политики</w:t>
      </w:r>
    </w:p>
    <w:p>
      <w:pPr>
        <w:ind w:firstLine="425"/>
      </w:pPr>
      <w:r>
        <w:t xml:space="preserve">9.1. Настоящая Политика пересматривается не реже одного раза в год или при существенном изменении состава информационных систем, нормативно-правовых требований либо по результатам аудита ИБ.</w:t>
      </w:r>
    </w:p>
    <w:p>
      <w:pPr>
        <w:ind w:firstLine="425"/>
      </w:pPr>
      <w:r>
        <w:t xml:space="preserve">9.2. Актуальная версия Политики доводится до сведения всех работников Организации под подпись.</w:t>
      </w:r>
    </w:p>
    <w:p>
      <w:pPr>
        <w:ind w:firstLine="425"/>
      </w:pPr>
      <w:r>
        <w:t xml:space="preserve">9.3. Генеральный директор _________________ / ________________ /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«Политика информационной безопасности» с сайта primadoc.ru. Документ, заполненный под вашу ситуацию, собирается в конструкторе: https://primadoc.ru/doc/politika-informacionnoy-bezopasnosti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Политика информационной безопасности — образец заполнения</dc:title>
  <dc:creator>Примадок</dc:creator>
  <dcterms:created xsi:type="dcterms:W3CDTF">2026-09-12T09:25:00Z</dcterms:created>
</cp:coreProperties>
</file>