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№ ______ от ______</w:t>
      </w:r>
    </w:p>
    <w:p>
      <w:pPr>
        <w:jc w:val="left"/>
      </w:pPr>
      <w:r>
        <w:t xml:space="preserve">Плательщик: ______</w:t>
      </w:r>
    </w:p>
    <w:p>
      <w:pPr>
        <w:jc w:val="left"/>
      </w:pPr>
      <w:r>
        <w:t xml:space="preserve">Счёт плательщика: ______, ______, БИК ______</w:t>
      </w:r>
    </w:p>
    <w:p>
      <w:pPr>
        <w:jc w:val="left"/>
      </w:pPr>
      <w:r>
        <w:t xml:space="preserve">Получатель: ______</w:t>
      </w:r>
    </w:p>
    <w:p>
      <w:pPr>
        <w:jc w:val="left"/>
      </w:pPr>
      <w:r>
        <w:t xml:space="preserve">Счёт получателя: ______, ______, БИК ______</w:t>
      </w:r>
    </w:p>
    <w:p>
      <w:pPr>
        <w:jc w:val="left"/>
      </w:pPr>
      <w:r>
        <w:t xml:space="preserve">Сумма: ______</w:t>
      </w:r>
    </w:p>
    <w:p>
      <w:pPr>
        <w:jc w:val="left"/>
      </w:pPr>
      <w:r>
        <w:t xml:space="preserve">Вид платежа: ______.</w:t>
      </w:r>
    </w:p>
    <w:p>
      <w:pPr>
        <w:jc w:val="left"/>
      </w:pPr>
      <w:r>
        <w:t xml:space="preserve">При расчётах платёжным поручением банк обязуется по распоряжению плательщика перевести денежные средства получателю в этом или в ином банке (ст. 863 ГК РФ).</w:t>
      </w:r>
    </w:p>
    <w:p>
      <w:pPr>
        <w:pStyle w:val="DocTitle"/>
      </w:pPr>
      <w:r>
        <w:t xml:space="preserve">Платёжное поручение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Назначение платежа</w:t>
      </w:r>
    </w:p>
    <w:p>
      <w:pPr>
        <w:ind w:firstLine="425"/>
      </w:pPr>
      <w:r>
        <w:t xml:space="preserve">Назначение платежа: ______</w:t>
      </w:r>
    </w:p>
    <w:p>
      <w:pPr>
        <w:ind w:firstLine="425"/>
      </w:pPr>
      <w:r>
        <w:t xml:space="preserve">Налог на добавленную стоимость: ______. Сумма налога выделяется в назначении платежа отдельной строкой либо указывается, что операция налогом не облагается.</w:t>
      </w:r>
    </w:p>
    <w:p>
      <w:pPr>
        <w:ind w:firstLine="425"/>
      </w:pPr>
      <w:r>
        <w:t xml:space="preserve">Расшифровка платежа по документам-основаниям: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856"/>
        <w:gridCol w:w="1928"/>
        <w:gridCol w:w="1499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документа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рублях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НДС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Назначение платежа должно позволять однозначно определить обязательство, которое исполняется: вид платежа, номер и дату договора, номер и дату счёта, период оплаты.</w:t>
      </w:r>
    </w:p>
    <w:p>
      <w:pPr>
        <w:ind w:firstLine="425"/>
      </w:pPr>
      <w:r>
        <w:t xml:space="preserve">Банк проверяет распоряжение на соответствие установленным требованиям к реквизитам и вправе отказать в исполнении при их нарушении (ст. 864 ГК РФ).</w:t>
      </w:r>
    </w:p>
    <w:p>
      <w:pPr>
        <w:pStyle w:val="ClauseHeading"/>
      </w:pPr>
      <w:r>
        <w:rPr>
          <w:b/>
        </w:rPr>
        <w:t xml:space="preserve">Реквизиты платежа в бюджет</w:t>
      </w:r>
    </w:p>
    <w:p>
      <w:pPr>
        <w:ind w:firstLine="425"/>
      </w:pPr>
      <w:r>
        <w:t xml:space="preserve">При перечислении налогов, сборов и страховых взносов дополнительно заполняются поля 101, 104, 105, 106, 107 и 22 платёжного поручения.</w:t>
      </w:r>
    </w:p>
    <w:p>
      <w:pPr>
        <w:ind w:firstLine="425"/>
      </w:pPr>
      <w:r>
        <w:t xml:space="preserve">КБК: ______. ОКТМО: ______. Налоговый период: ______. Уникальный идентификатор начисления: ______.</w:t>
      </w:r>
    </w:p>
    <w:p>
      <w:pPr>
        <w:ind w:firstLine="425"/>
      </w:pPr>
      <w:r>
        <w:t xml:space="preserve">Платежи, входящие в состав единого налогового платежа, перечисляются на казначейский счёт получателя — уполномоченного территориального органа Федерального казначейства, со статусом плательщика 01 и с указанием КБК единого налогового платежа (ст. 58 НК РФ).</w:t>
      </w:r>
    </w:p>
    <w:p>
      <w:pPr>
        <w:ind w:firstLine="425"/>
      </w:pPr>
      <w:r>
        <w:t xml:space="preserve">Обязанность по уплате налога считается исполненной со дня перечисления денежных средств в качестве единого налогового платежа при наличии достаточного остатка на счёте (ст. 45 НК РФ).</w:t>
      </w:r>
    </w:p>
    <w:p>
      <w:pPr>
        <w:ind w:firstLine="425"/>
      </w:pPr>
      <w:r>
        <w:t xml:space="preserve">Ошибка в реквизитах, не повлёкшая непоступление средств в бюджет, устраняется уточнением платежа; при непоступлении средств обязанность считается неисполненной и начисляются пени (ст. 75 НК РФ).</w:t>
      </w:r>
    </w:p>
    <w:p>
      <w:pPr>
        <w:pStyle w:val="ClauseHeading"/>
      </w:pPr>
      <w:r>
        <w:rPr>
          <w:b/>
        </w:rPr>
        <w:t xml:space="preserve">Очерёдность платежа</w:t>
      </w:r>
    </w:p>
    <w:p>
      <w:pPr>
        <w:ind w:firstLine="425"/>
      </w:pPr>
      <w:r>
        <w:t xml:space="preserve">Очерёдность платежа: ______.</w:t>
      </w:r>
    </w:p>
    <w:p>
      <w:pPr>
        <w:ind w:firstLine="425"/>
      </w:pPr>
      <w:r>
        <w:t xml:space="preserve">При достаточности денежных средств на счёте распоряжения исполняются в порядке поступления в банк, то есть в календарной очерёдности.</w:t>
      </w:r>
    </w:p>
    <w:p>
      <w:pPr>
        <w:ind w:firstLine="425"/>
      </w:pPr>
      <w:r>
        <w:t xml:space="preserve">При недостаточности денежных средств списание производится в очерёдности, установленной законом: сначала требования о возмещении вреда жизни и здоровью и о взыскании алиментов, затем выплаты по исполнительным документам о выходных пособиях и оплате труда, затем оплата труда по расчётным документам и поручения налоговых органов, затем иные исполнительные документы и в последнюю очередь прочие платежи.</w:t>
      </w:r>
    </w:p>
    <w:p>
      <w:pPr>
        <w:ind w:firstLine="425"/>
      </w:pPr>
      <w:r>
        <w:t xml:space="preserve">Списание средств со счёта производится банком на основании распоряжения клиента, а без распоряжения — только в случаях, установленных законом или договором (ст. 854 ГК РФ).</w:t>
      </w:r>
    </w:p>
    <w:p>
      <w:pPr>
        <w:ind w:firstLine="425"/>
      </w:pPr>
      <w:r>
        <w:t xml:space="preserve">Основание платежа по исполнительному документу: ______.</w:t>
      </w:r>
    </w:p>
    <w:p>
      <w:pPr>
        <w:pStyle w:val="ClauseHeading"/>
      </w:pPr>
      <w:r>
        <w:rPr>
          <w:b/>
        </w:rPr>
        <w:t xml:space="preserve">Подписи и отметки банка</w:t>
      </w:r>
    </w:p>
    <w:p>
      <w:pPr>
        <w:ind w:firstLine="425"/>
      </w:pPr>
      <w:r>
        <w:t xml:space="preserve">Руководитель (уполномоченное лицо) плательщика: ______________ / ______________ /</w:t>
      </w:r>
    </w:p>
    <w:p>
      <w:pPr>
        <w:ind w:firstLine="425"/>
      </w:pPr>
      <w:r>
        <w:t xml:space="preserve">Главный бухгалтер: ______________ / ______________ /</w:t>
      </w:r>
    </w:p>
    <w:p>
      <w:pPr>
        <w:ind w:firstLine="425"/>
      </w:pPr>
      <w:r>
        <w:t xml:space="preserve">Отметки банка о принятии и об исполнении распоряжения: ____________________________</w:t>
      </w:r>
    </w:p>
    <w:p>
      <w:pPr>
        <w:ind w:firstLine="425"/>
      </w:pPr>
      <w:r>
        <w:t xml:space="preserve">При направлении распоряжения по системе дистанционного банковского обслуживания подписи на бумажном носителе заменяются электронной подписью уполномоченного лица.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«Платёжное поручение» с сайта primadoc.ru. Документ, заполненный под вашу ситуацию, собирается в конструкторе: https://primadoc.ru/doc/platezhnoe-poruchenie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Платёжное поручение — пустой бланк</dc:title>
  <dc:creator>Примадок</dc:creator>
  <dcterms:created xsi:type="dcterms:W3CDTF">2026-09-11T12:34:41Z</dcterms:created>
</cp:coreProperties>
</file>