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УТВЕРЖДЁН</w:t>
      </w:r>
    </w:p>
    <w:p>
      <w:pPr>
        <w:jc w:val="left"/>
      </w:pPr>
      <w:r>
        <w:t xml:space="preserve">генеральный директор ООО «Ромашка»</w:t>
      </w:r>
    </w:p>
    <w:p>
      <w:pPr>
        <w:jc w:val="left"/>
      </w:pPr>
      <w:r>
        <w:t xml:space="preserve">______________________ Иванов Сергей Петрович</w:t>
      </w:r>
    </w:p>
    <w:p>
      <w:pPr>
        <w:jc w:val="left"/>
      </w:pPr>
      <w:r>
        <w:t xml:space="preserve">Приказ от 01.01.2026 № 19-ПДн.</w:t>
      </w:r>
    </w:p>
    <w:p>
      <w:pPr>
        <w:jc w:val="left"/>
      </w:pPr>
      <w:r>
        <w:t xml:space="preserve">Оператор персональных данных: ООО «Ромашка», ИНН 7701234567, ОГРН 1157746123456, адрес: г. Москва, ул. Ленина, д. 1, кв. 1.</w:t>
      </w:r>
    </w:p>
    <w:p>
      <w:pPr>
        <w:jc w:val="left"/>
      </w:pPr>
      <w:r>
        <w:t xml:space="preserve">Ответственный за организацию обработки персональных данных: генеральный директор Иванов Иван Иванович.</w:t>
      </w:r>
    </w:p>
    <w:p>
      <w:pPr>
        <w:pStyle w:val="DocTitle"/>
      </w:pPr>
      <w:r>
        <w:t xml:space="preserve">Перечень информационных систем персональных данных (ИСПДн)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перечень содержит сведения об информационных системах персональных данных оператора, о составе обрабатываемых в них данных, категориях субъектов, установленных уровнях защищённости и местах хранения данных.</w:t>
      </w:r>
    </w:p>
    <w:p>
      <w:pPr>
        <w:ind w:firstLine="425"/>
      </w:pPr>
      <w:r>
        <w:t xml:space="preserve">1.2. Информационная система персональных данных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>
      <w:pPr>
        <w:ind w:firstLine="425"/>
      </w:pPr>
      <w:r>
        <w:t xml:space="preserve">1.3. Оператор обязан принимать меры, необходимые и достаточные для обеспечения выполнения обязанностей, предусмотренных законодательством о персональных данных (ст. 18.1 152-ФЗ).</w:t>
      </w:r>
    </w:p>
    <w:p>
      <w:pPr>
        <w:ind w:firstLine="425"/>
      </w:pPr>
      <w:r>
        <w:t xml:space="preserve">1.4. Оператор обязан принимать правовые, организационные и технические меры для защиты персональных данных от неправомерного доступа, уничтожения, изменения, блокирования, копирования, предоставления и распространения (ст. 19 152-ФЗ).</w:t>
      </w:r>
    </w:p>
    <w:p>
      <w:pPr>
        <w:ind w:firstLine="425"/>
      </w:pPr>
      <w:r>
        <w:t xml:space="preserve">1.5. Требования к защите персональных данных при их обработке в информационных системах и уровни защищённости установлены постановлением Правительства (ПП РФ 1119 —).</w:t>
      </w:r>
    </w:p>
    <w:p>
      <w:pPr>
        <w:ind w:firstLine="425"/>
      </w:pPr>
      <w:r>
        <w:t xml:space="preserve">1.6. Перечень является учётным документом и основой для определения уровня защищённости каждой системы, разработки модели угроз, выбора мер защиты и подготовки уведомления об обработке персональных данных.</w:t>
      </w:r>
    </w:p>
    <w:p>
      <w:pPr>
        <w:ind w:firstLine="425"/>
      </w:pPr>
      <w:r>
        <w:t xml:space="preserve">1.7. Обработка персональных данных должна ограничиваться достижением конкретных, заранее определённых и законных целей, а содержание и объём данных должны им соответствовать (ст. 5 152-ФЗ).</w:t>
      </w:r>
    </w:p>
    <w:p>
      <w:pPr>
        <w:ind w:firstLine="425"/>
      </w:pPr>
      <w:r>
        <w:t xml:space="preserve">1.8. Оператор обрабатывает специальные категории персональных данных, что учитывается при определении уровня защищённости систем и состава мер защиты (ст. 10 152-ФЗ).</w:t>
      </w:r>
    </w:p>
    <w:p>
      <w:pPr>
        <w:ind w:firstLine="425"/>
      </w:pPr>
      <w:r>
        <w:t xml:space="preserve">1.9. Оператор обрабатывает биометрические персональные данные; их обработка осуществляется при наличии согласия субъекта в письменной форме, если иное прямо не предусмотрено законом (ст. 11 152-ФЗ).</w:t>
      </w:r>
    </w:p>
    <w:p>
      <w:pPr>
        <w:ind w:firstLine="425"/>
      </w:pPr>
      <w:r>
        <w:t xml:space="preserve">1.10. Для обработки персональных данных используются внешние площадки и облачные сервисы: хостинг в ЦОД на территории России, корпоративная почта на российском сервисе.</w:t>
      </w:r>
    </w:p>
    <w:p>
      <w:pPr>
        <w:ind w:firstLine="425"/>
      </w:pPr>
      <w:r>
        <w:t xml:space="preserve">1.11. Отношения с их операторами оформляются поручением на обработку персональных данных.______Обработка персональных данных ведётся на собственных технических средствах оператора; внешние площадки и облачные сервисы не используются.</w:t>
      </w:r>
    </w:p>
    <w:p>
      <w:pPr>
        <w:pStyle w:val="ClauseHeading"/>
      </w:pPr>
      <w:r>
        <w:rPr>
          <w:b/>
        </w:rPr>
        <w:t xml:space="preserve">2. Перечень информационных систем персональных данных</w:t>
      </w:r>
    </w:p>
    <w:p>
      <w:pPr>
        <w:ind w:firstLine="425"/>
      </w:pPr>
      <w:r>
        <w:t xml:space="preserve">2.1. Сведения об информационных системах персональных данных оператора приведены в таблице.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0"/>
        <w:gridCol w:w="798"/>
        <w:gridCol w:w="1654"/>
        <w:gridCol w:w="1540"/>
        <w:gridCol w:w="1027"/>
        <w:gridCol w:w="684"/>
        <w:gridCol w:w="570"/>
        <w:gridCol w:w="684"/>
        <w:gridCol w:w="1711"/>
        <w:gridCol w:w="798"/>
      </w:tblGrid>
      <w:tr>
        <w:tc>
          <w:tcPr>
            <w:tcW w:w="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системы</w:t>
            </w:r>
          </w:p>
        </w:tc>
        <w:tc>
          <w:tcPr>
            <w:tcW w:w="8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 и цели обработки</w:t>
            </w:r>
          </w:p>
        </w:tc>
        <w:tc>
          <w:tcPr>
            <w:tcW w:w="79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Категории субъектов</w:t>
            </w:r>
          </w:p>
        </w:tc>
        <w:tc>
          <w:tcPr>
            <w:tcW w:w="5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Категории данных</w:t>
            </w:r>
          </w:p>
        </w:tc>
        <w:tc>
          <w:tcPr>
            <w:tcW w:w="3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(число субъектов)</w:t>
            </w:r>
          </w:p>
        </w:tc>
        <w:tc>
          <w:tcPr>
            <w:tcW w:w="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Тип актуальных угроз</w:t>
            </w:r>
          </w:p>
        </w:tc>
        <w:tc>
          <w:tcPr>
            <w:tcW w:w="3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Уровень защищённости</w:t>
            </w:r>
          </w:p>
        </w:tc>
        <w:tc>
          <w:tcPr>
            <w:tcW w:w="8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Места хранения и серверы</w:t>
            </w:r>
          </w:p>
        </w:tc>
        <w:tc>
          <w:tcPr>
            <w:tcW w:w="4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Ответственное подразделение</w:t>
            </w:r>
          </w:p>
        </w:tc>
      </w:tr>
      <w:tr>
        <w:tc>
          <w:tcPr>
            <w:tcW w:w="8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14" w:type="pct"/>
            <w:vAlign w:val="center"/>
          </w:tcPr>
          <w:p>
            <w:pPr>
              <w:jc w:val="left"/>
              <w:ind w:firstLine="0"/>
            </w:pPr>
            <w:r>
              <w:t xml:space="preserve">CRM «Клиенты»</w:t>
            </w:r>
          </w:p>
        </w:tc>
        <w:tc>
          <w:tcPr>
            <w:tcW w:w="858" w:type="pct"/>
            <w:vAlign w:val="center"/>
          </w:tcPr>
          <w:p>
            <w:pPr>
              <w:jc w:val="left"/>
              <w:ind w:firstLine="0"/>
            </w:pPr>
            <w:r>
              <w:t xml:space="preserve">Учёт заказов и связь с клиентами при исполнении договоров</w:t>
            </w:r>
          </w:p>
        </w:tc>
        <w:tc>
          <w:tcPr>
            <w:tcW w:w="799" w:type="pct"/>
            <w:vAlign w:val="center"/>
          </w:tcPr>
          <w:p>
            <w:pPr>
              <w:jc w:val="left"/>
              <w:ind w:firstLine="0"/>
            </w:pPr>
            <w:r>
              <w:t xml:space="preserve">Клиенты — физические лица, представители контрагентов</w:t>
            </w:r>
          </w:p>
        </w:tc>
        <w:tc>
          <w:tcPr>
            <w:tcW w:w="533" w:type="pct"/>
            <w:vAlign w:val="center"/>
          </w:tcPr>
          <w:p>
            <w:pPr>
              <w:jc w:val="left"/>
              <w:ind w:firstLine="0"/>
            </w:pPr>
            <w:r>
              <w:t xml:space="preserve">ФИО, телефон, e-mail, адрес доставки</w:t>
            </w:r>
          </w:p>
        </w:tc>
        <w:tc>
          <w:tcPr>
            <w:tcW w:w="355" w:type="pct"/>
            <w:vAlign w:val="center"/>
          </w:tcPr>
          <w:p>
            <w:pPr>
              <w:jc w:val="left"/>
              <w:ind w:firstLine="0"/>
            </w:pPr>
            <w:r>
              <w:t xml:space="preserve">около 4 800</w:t>
            </w:r>
          </w:p>
        </w:tc>
        <w:tc>
          <w:tcPr>
            <w:tcW w:w="296" w:type="pct"/>
            <w:vAlign w:val="center"/>
          </w:tcPr>
          <w:p>
            <w:pPr>
              <w:jc w:val="left"/>
              <w:ind w:firstLine="0"/>
            </w:pPr>
            <w:r>
              <w:t xml:space="preserve">3-й тип</w:t>
            </w:r>
          </w:p>
        </w:tc>
        <w:tc>
          <w:tcPr>
            <w:tcW w:w="355" w:type="pct"/>
            <w:vAlign w:val="center"/>
          </w:tcPr>
          <w:p>
            <w:pPr>
              <w:jc w:val="left"/>
              <w:ind w:firstLine="0"/>
            </w:pPr>
            <w:r>
              <w:t xml:space="preserve">4-й уровень</w:t>
            </w:r>
          </w:p>
        </w:tc>
        <w:tc>
          <w:tcPr>
            <w:tcW w:w="888" w:type="pct"/>
            <w:vAlign w:val="center"/>
          </w:tcPr>
          <w:p>
            <w:pPr>
              <w:jc w:val="left"/>
              <w:ind w:firstLine="0"/>
            </w:pPr>
            <w:r>
              <w:t xml:space="preserve">Сервер в помещении № 12, резервные копии в ЦОД на территории России</w:t>
            </w:r>
          </w:p>
        </w:tc>
        <w:tc>
          <w:tcPr>
            <w:tcW w:w="414" w:type="pct"/>
            <w:vAlign w:val="center"/>
          </w:tcPr>
          <w:p>
            <w:pPr>
              <w:jc w:val="left"/>
              <w:ind w:firstLine="0"/>
            </w:pPr>
            <w:r>
              <w:t xml:space="preserve">Отдел продаж</w:t>
            </w:r>
          </w:p>
        </w:tc>
      </w:tr>
      <w:tr>
        <w:tc>
          <w:tcPr>
            <w:tcW w:w="8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2.2. Система, не включённая в перечень, считается эксплуатируемой без установленных мер защиты: обработка персональных данных в ней подлежит прекращению до внесения системы в перечень.</w:t>
      </w:r>
    </w:p>
    <w:p>
      <w:pPr>
        <w:ind w:firstLine="425"/>
      </w:pPr>
      <w:r>
        <w:t xml:space="preserve">2.3. В перечень включаются в том числе системы, не приобретавшиеся как программные продукты: электронные таблицы и файлы с базами клиентов и работников, сервисы рассылок, мессенджеры, используемые для передачи данных, системы видеонаблюдения и контроля доступа, кадровые и бухгалтерские программы.</w:t>
      </w:r>
    </w:p>
    <w:p>
      <w:pPr>
        <w:ind w:firstLine="425"/>
      </w:pPr>
      <w:r>
        <w:t xml:space="preserve">2.4. Не включаются в перечень системы, в которых персональные данные не обрабатываются, а также обработка персональных данных, осуществляемая исключительно без использования средств автоматизации, — она учитывается отдельно.</w:t>
      </w:r>
    </w:p>
    <w:p>
      <w:pPr>
        <w:pStyle w:val="ClauseHeading"/>
      </w:pPr>
      <w:r>
        <w:rPr>
          <w:b/>
        </w:rPr>
        <w:t xml:space="preserve">3. Пояснения к графам перечня</w:t>
      </w:r>
    </w:p>
    <w:p>
      <w:pPr>
        <w:ind w:firstLine="425"/>
      </w:pPr>
      <w:r>
        <w:t xml:space="preserve">3.1. Графа «Наименование системы» содержит название, под которым система известна работникам, и, при наличии, наименование программного продукта и его версию.</w:t>
      </w:r>
    </w:p>
    <w:p>
      <w:pPr>
        <w:ind w:firstLine="425"/>
      </w:pPr>
      <w:r>
        <w:t xml:space="preserve">3.2. Графа «Назначение и цели обработки» содержит конкретную цель, ради которой данные обрабатываются в этой системе.</w:t>
      </w:r>
    </w:p>
    <w:p>
      <w:pPr>
        <w:ind w:firstLine="425"/>
      </w:pPr>
      <w:r>
        <w:t xml:space="preserve">3.3. Формулировки «для работы» и «для уставной деятельности» цели не определяют и не допускаются (ст. 5 152-ФЗ).</w:t>
      </w:r>
    </w:p>
    <w:p>
      <w:pPr>
        <w:ind w:firstLine="425"/>
      </w:pPr>
      <w:r>
        <w:t xml:space="preserve">3.4. Графа «Категории субъектов» содержит группы людей, чьи данные обрабатываются: работники, кандидаты, клиенты, представители контрагентов, посетители, члены семьи работников.</w:t>
      </w:r>
    </w:p>
    <w:p>
      <w:pPr>
        <w:ind w:firstLine="425"/>
      </w:pPr>
      <w:r>
        <w:t xml:space="preserve">3.5. Графа «Категории данных» содержит конкретный состав данных, а не их обобщённое название; отдельно отмечаются специальные категории и биометрические данные.</w:t>
      </w:r>
    </w:p>
    <w:p>
      <w:pPr>
        <w:ind w:firstLine="425"/>
      </w:pPr>
      <w:r>
        <w:t xml:space="preserve">3.6. Графа «Объём» содержит фактическое или оценочное число субъектов: превышение ста тысяч субъектов влияет на определяемый уровень защищённости (ПП РФ 1119 —).</w:t>
      </w:r>
    </w:p>
    <w:p>
      <w:pPr>
        <w:ind w:firstLine="425"/>
      </w:pPr>
      <w:r>
        <w:t xml:space="preserve">3.7. Графа «Тип актуальных угроз» заполняется по результатам оценки угроз безопасности информации (Метод. документ ФСТЭК от 05.02.2021) и обосновывается в модели угроз, а не выбирается произвольно.</w:t>
      </w:r>
    </w:p>
    <w:p>
      <w:pPr>
        <w:ind w:firstLine="425"/>
      </w:pPr>
      <w:r>
        <w:t xml:space="preserve">3.8. Графа «Уровень защищённости» заполняется по акту определения уровня защищённости и должна совпадать с ним: расхождение перечня и акта — типичное замечание при проверке.</w:t>
      </w:r>
    </w:p>
    <w:p>
      <w:pPr>
        <w:ind w:firstLine="425"/>
      </w:pPr>
      <w:r>
        <w:t xml:space="preserve">3.9. Графа «Места хранения и серверы» содержит физическое размещение серверов и носителей, включая места хранения резервных копий, с указанием страны размещения.</w:t>
      </w:r>
    </w:p>
    <w:p>
      <w:pPr>
        <w:ind w:firstLine="425"/>
      </w:pPr>
      <w:r>
        <w:t xml:space="preserve">3.10. Графа «Ответственное подразделение» содержит подразделение, которое эксплуатирует систему и отвечает за состав обрабатываемых в ней данных.</w:t>
      </w:r>
    </w:p>
    <w:p>
      <w:pPr>
        <w:pStyle w:val="ClauseHeading"/>
      </w:pPr>
      <w:r>
        <w:rPr>
          <w:b/>
        </w:rPr>
        <w:t xml:space="preserve">4. Порядок ведения и актуализации перечня</w:t>
      </w:r>
    </w:p>
    <w:p>
      <w:pPr>
        <w:ind w:firstLine="425"/>
      </w:pPr>
      <w:r>
        <w:t xml:space="preserve">4.1. Ведение перечня обеспечивает Ответственный за организацию обработки персональных данных.</w:t>
      </w:r>
    </w:p>
    <w:p>
      <w:pPr>
        <w:ind w:firstLine="425"/>
      </w:pPr>
      <w:r>
        <w:t xml:space="preserve">4.2. Новая информационная система вносится в перечень в течение 10 рабочих дней со дня ввода её в эксплуатацию или начала обработки в ней персональных данных.</w:t>
      </w:r>
    </w:p>
    <w:p>
      <w:pPr>
        <w:ind w:firstLine="425"/>
      </w:pPr>
      <w:r>
        <w:t xml:space="preserve">4.3. Изменения вносятся в перечень в тот же срок при изменении состава обрабатываемых данных, категорий субъектов, целей обработки, мест хранения данных или ответственного подразделения.</w:t>
      </w:r>
    </w:p>
    <w:p>
      <w:pPr>
        <w:ind w:firstLine="425"/>
      </w:pPr>
      <w:r>
        <w:t xml:space="preserve">4.4. Плановая актуализация перечня проводится не реже одного раза в год независимо от наличия изменений; результат актуализации оформляется отметкой о проверке даже при отсутствии изменений.</w:t>
      </w:r>
    </w:p>
    <w:p>
      <w:pPr>
        <w:ind w:firstLine="425"/>
      </w:pPr>
      <w:r>
        <w:t xml:space="preserve">4.5. Руководители подразделений сообщают ответственному за ведение перечня о планируемом вводе в эксплуатацию новой системы, о начале обработки в ней персональных данных и о любом изменении состава данных до фактического начала таких действий.</w:t>
      </w:r>
    </w:p>
    <w:p>
      <w:pPr>
        <w:ind w:firstLine="425"/>
      </w:pPr>
      <w:r>
        <w:t xml:space="preserve">4.6. Ввод в эксплуатацию информационной системы, обрабатывающей персональные данные, без внесения её в перечень и без определения уровня защищённости не допускается.</w:t>
      </w:r>
    </w:p>
    <w:p>
      <w:pPr>
        <w:ind w:firstLine="425"/>
      </w:pPr>
      <w:r>
        <w:t xml:space="preserve">4.7. Изменённая редакция перечня утверждается приказом руководителя оператора; редакция, утратившая силу, хранится вместе с приказом об утверждении новой редакции.</w:t>
      </w:r>
    </w:p>
    <w:p>
      <w:pPr>
        <w:ind w:firstLine="425"/>
      </w:pPr>
      <w:r>
        <w:t xml:space="preserve">4.8. При изменении сведений, содержащихся в уведомлении об обработке персональных данных, оператор направляет в уполномоченный орган информацию об изменениях (ст. 22 152-ФЗ).</w:t>
      </w:r>
    </w:p>
    <w:p>
      <w:pPr>
        <w:ind w:firstLine="425"/>
      </w:pPr>
      <w:r>
        <w:t xml:space="preserve">4.9. Актуализация перечня проводится также по результатам внутреннего контроля соответствия обработки требованиям закона и по результатам проверок уполномоченного органа (ст. 18.1 152-ФЗ).</w:t>
      </w:r>
    </w:p>
    <w:p>
      <w:pPr>
        <w:pStyle w:val="ClauseHeading"/>
      </w:pPr>
      <w:r>
        <w:rPr>
          <w:b/>
        </w:rPr>
        <w:t xml:space="preserve">5. Доступ к перечню и его хранение</w:t>
      </w:r>
    </w:p>
    <w:p>
      <w:pPr>
        <w:ind w:firstLine="425"/>
      </w:pPr>
      <w:r>
        <w:t xml:space="preserve">5.1. Перечень хранится у ответственного за ведение перечня в бумажном и электронном виде.</w:t>
      </w:r>
    </w:p>
    <w:p>
      <w:pPr>
        <w:ind w:firstLine="425"/>
      </w:pPr>
      <w:r>
        <w:t xml:space="preserve">5.2. Доступ к перечню предоставляется руководителю оператора, ответственному за организацию обработки персональных данных, работникам подразделения информационных технологий и работникам, участвующим во внутреннем контроле.</w:t>
      </w:r>
    </w:p>
    <w:p>
      <w:pPr>
        <w:ind w:firstLine="425"/>
      </w:pPr>
      <w:r>
        <w:t xml:space="preserve">5.3. Перечень содержит сведения о структуре и защите информационных систем и не подлежит публикации и передаче третьим лицам, кроме случаев представления по требованию уполномоченного органа или суда.</w:t>
      </w:r>
    </w:p>
    <w:p>
      <w:pPr>
        <w:ind w:firstLine="425"/>
      </w:pPr>
      <w:r>
        <w:t xml:space="preserve">5.4. Копия перечня предоставляется лицу, которому поручена обработка персональных данных, в части систем, к которым оно допущено.</w:t>
      </w:r>
    </w:p>
    <w:p>
      <w:pPr>
        <w:ind w:firstLine="425"/>
      </w:pPr>
      <w:r>
        <w:t xml:space="preserve">5.5. Перечень и утратившие силу его редакции хранятся не менее пяти лет со дня утверждения новой редакции: по ним устанавливается, какой состав систем действовал на дату спорного события.</w:t>
      </w:r>
    </w:p>
    <w:p>
      <w:pPr>
        <w:ind w:firstLine="425"/>
      </w:pPr>
      <w:r>
        <w:t xml:space="preserve">5.6. Работники, допущенные к обработке персональных данных, знакомятся с касающейся их частью перечня под подпись (ст. 18.1 152-ФЗ).</w:t>
      </w:r>
    </w:p>
    <w:p>
      <w:pPr>
        <w:ind w:firstLine="425"/>
      </w:pPr>
      <w:r>
        <w:t xml:space="preserve">5.7. Сведения о работниках, допущенных к каждой системе, ведутся отдельным перечнем и сверяются с фактическими правами доступа при внутреннем контроле.</w:t>
      </w:r>
    </w:p>
    <w:p>
      <w:pPr>
        <w:pStyle w:val="ClauseHeading"/>
      </w:pPr>
      <w:r>
        <w:rPr>
          <w:b/>
        </w:rPr>
        <w:t xml:space="preserve">6. Утверждение, ознакомление и вступление в силу</w:t>
      </w:r>
    </w:p>
    <w:p>
      <w:pPr>
        <w:ind w:firstLine="425"/>
      </w:pPr>
      <w:r>
        <w:t xml:space="preserve">6.1. Перечень утверждается приказом руководителя оператора от 01.01.2026 № 19-ПДн и вводится в действие со дня утверждения.</w:t>
      </w:r>
    </w:p>
    <w:p>
      <w:pPr>
        <w:ind w:firstLine="425"/>
      </w:pPr>
      <w:r>
        <w:t xml:space="preserve">6.2. Перечень доводится до ответственных работников под подпись в листе ознакомления Приложение № 1.</w:t>
      </w:r>
    </w:p>
    <w:p>
      <w:pPr>
        <w:ind w:firstLine="425"/>
      </w:pPr>
      <w:r>
        <w:t xml:space="preserve">6.3. Изменения перечня оформляются в порядке, установленном для его утверждения, и фиксируются в листе учёта изменений Приложение № 2.</w:t>
      </w:r>
    </w:p>
    <w:p>
      <w:pPr>
        <w:ind w:firstLine="425"/>
      </w:pPr>
      <w:r>
        <w:t xml:space="preserve">6.4. Перечень является приложением к политике оператора в отношении обработки персональных данных и применяется совместно с ней.</w:t>
      </w:r>
    </w:p>
    <w:p>
      <w:pPr>
        <w:ind w:firstLine="425"/>
      </w:pPr>
      <w:r>
        <w:t xml:space="preserve">6.5. Контактные данные оператора для обращений субъектов персональных данных: pdn@romashka-example.ru, телефон +7 (900) 000-00-00, сайт https://example.ru, почтовый адрес г. Москва, ул. Ленина, д. 1, кв. 1.</w:t>
      </w:r>
    </w:p>
    <w:p>
      <w:pPr>
        <w:ind w:firstLine="425"/>
      </w:pPr>
      <w:r>
        <w:t xml:space="preserve">6.6. Обращения субъектов персональных данных о составе обрабатываемых данных рассматриваются в порядке и в сроки, установленные законом (ст. 20 152-ФЗ).</w:t>
      </w:r>
    </w:p>
    <w:p>
      <w:pPr>
        <w:ind w:firstLine="425"/>
      </w:pPr>
      <w:r>
        <w:t xml:space="preserve">6.7. Вопросы, не урегулированные настоящим перечнем, разрешаются в соответствии с законодательством о персональных данных и локальными актами оператора.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перечнем ИСПДн</w:t>
      </w:r>
    </w:p>
    <w:p>
      <w:pPr>
        <w:ind w:firstLine="425"/>
      </w:pPr>
      <w:r>
        <w:t xml:space="preserve">Перечень информационных систем персональных данных ООО «Ромашка», утверждён приказом от 01.01.2026 № 19-ПДн.</w:t>
      </w:r>
    </w:p>
    <w:p>
      <w:pPr>
        <w:ind w:firstLine="425"/>
      </w:pPr>
      <w:r>
        <w:t xml:space="preserve">Работник своей подписью подтверждает, что ознакомлен с перечнем в части систем, к которым он допущен, и обязуется сообщать ответственному за ведение перечня об изменении состава обрабатываемых данных и о вводе в эксплуатацию новых систем.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1662"/>
        <w:gridCol w:w="1994"/>
        <w:gridCol w:w="2160"/>
        <w:gridCol w:w="1994"/>
        <w:gridCol w:w="1330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10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Системы, к которым допущен</w:t>
            </w:r>
          </w:p>
        </w:tc>
        <w:tc>
          <w:tcPr>
            <w:tcW w:w="10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перечнем у ответственного за его ведение и предъявляется при проверках.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учёта изменений перечня</w:t>
      </w:r>
    </w:p>
    <w:p>
      <w:pPr>
        <w:ind w:firstLine="425"/>
      </w:pPr>
      <w:r>
        <w:t xml:space="preserve">В листе фиксируется каждое изменение перечня. Без такой записи невозможно установить, какой состав информационных систем действовал на дату инцидента или проверки.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8"/>
        <w:gridCol w:w="1314"/>
        <w:gridCol w:w="2921"/>
        <w:gridCol w:w="1461"/>
        <w:gridCol w:w="1461"/>
        <w:gridCol w:w="2045"/>
      </w:tblGrid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изменения</w:t>
            </w:r>
          </w:p>
        </w:tc>
        <w:tc>
          <w:tcPr>
            <w:tcW w:w="15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Система (внесена / изменена / исключена)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изменилось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(приказ)</w:t>
            </w:r>
          </w:p>
        </w:tc>
        <w:tc>
          <w:tcPr>
            <w:tcW w:w="10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Запись вносит Ответственный за организацию обработки персональных данных в день утверждения изменённой редакции перечня.</w:t>
      </w:r>
    </w:p>
    <w:p>
      <w:pPr>
        <w:ind w:firstLine="425"/>
      </w:pPr>
      <w:r>
        <w:t xml:space="preserve">Одновременно с записью проверяется, требуется ли пересмотр акта определения уровня защищённости и модели угроз по изменённой системе.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«Перечень информационных систем персональных данных (ИСПДн)» с сайта primadoc.ru. Документ, заполненный под вашу ситуацию, собирается в конструкторе: https://primadoc.ru/doc/perechen-informacionnyh-sistem-personalnyh-dannyh-ispdn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Перечень информационных систем персональных данных (ИСПДн) — образец заполнения</dc:title>
  <dc:creator>Примадок</dc:creator>
  <dcterms:created xsi:type="dcterms:W3CDTF">2026-09-13T13:25:49Z</dcterms:created>
</cp:coreProperties>
</file>