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В Инспекцию ФНС России № 7 по г. Москве</w:t>
      </w:r>
    </w:p>
    <w:p>
      <w:pPr>
        <w:ind w:left="4820"/>
        <w:jc w:val="left"/>
      </w:pPr>
      <w:r>
        <w:t xml:space="preserve">от Иванов Иван Иванович (ИНН 7701234567)</w:t>
      </w:r>
    </w:p>
    <w:p>
      <w:pPr>
        <w:ind w:left="4820"/>
        <w:jc w:val="left"/>
      </w:pPr>
      <w:r>
        <w:t xml:space="preserve">На требование о представлении пояснений (документов) № 12-15/48219 от 01.01.2026, полученное 01.01.2026.</w:t>
      </w:r>
    </w:p>
    <w:p>
      <w:pPr>
        <w:ind w:left="4820"/>
        <w:jc w:val="left"/>
      </w:pPr>
      <w:r>
        <w:t xml:space="preserve">Период и документ, к которым относится требование: налоговая декларация по НДС за 2-й квартал 2026 года, регистрационный номер 1234567890.</w:t>
      </w:r>
    </w:p>
    <w:p>
      <w:pPr>
        <w:pStyle w:val="DocTitle"/>
      </w:pPr>
      <w:r>
        <w:t xml:space="preserve">Ответ на требование ИФНС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ind w:firstLine="425"/>
      </w:pPr>
      <w:r>
        <w:t xml:space="preserve">В ответ на указанное требование сообщаем следующее.</w:t>
      </w:r>
    </w:p>
    <w:p>
      <w:pPr>
        <w:ind w:firstLine="425"/>
      </w:pPr>
      <w:r>
        <w:t xml:space="preserve">Существо ответа: Расхождение по счёту-фактуре № 214 от 12.05.2025 вызвано технической ошибкой в номере счёта-фактуры в книге покупок; операция отражена в полном объёме, налоговая база не занижена, уточнённая декларация не требуется.</w:t>
      </w:r>
    </w:p>
    <w:p>
      <w:pPr>
        <w:ind w:firstLine="425"/>
      </w:pPr>
      <w:r>
        <w:t xml:space="preserve">Представляемые документы (опись): Счёт-фактура № 214 от 12.05.2025, товарная накладная № 198 от 12.05.2025, договор поставки № 7 от 09.01.2025, карточка счёта 60 по контрагенту — 4 документа на 9 листах.</w:t>
      </w:r>
    </w:p>
    <w:p>
      <w:pPr>
        <w:ind w:firstLine="425"/>
      </w:pPr>
      <w:r>
        <w:t xml:space="preserve">Пояснения даны в пределах сведений и документов, которыми налогоплательщик располагает на дату настоящего ответа.</w:t>
      </w:r>
    </w:p>
    <w:p>
      <w:pPr>
        <w:pStyle w:val="ClauseHeading"/>
      </w:pPr>
      <w:r>
        <w:rPr>
          <w:b/>
        </w:rPr>
        <w:t xml:space="preserve">Пояснения по расхождениям в декларации по НДС</w:t>
      </w:r>
    </w:p>
    <w:p>
      <w:pPr>
        <w:ind w:firstLine="425"/>
      </w:pPr>
      <w:r>
        <w:t xml:space="preserve">Расхождения, указанные в требовании, относятся к операциям, отражённым в книге покупок (книге продаж) и в соответствующих разделах налоговой декларации по налогу на добавленную стоимость.</w:t>
      </w:r>
    </w:p>
    <w:p>
      <w:pPr>
        <w:ind w:firstLine="425"/>
      </w:pPr>
      <w:r>
        <w:t xml:space="preserve">Пояснения по каждой позиции протокола расхождений: Расхождение по счёту-фактуре № 214 от 12.05.2026 вызвано опечаткой в его номере в книге покупок (указано 241 вместо 214); операция отражена в полном объёме, сумма вычета не изменяется.</w:t>
      </w:r>
    </w:p>
    <w:p>
      <w:pPr>
        <w:ind w:firstLine="425"/>
      </w:pPr>
      <w:r>
        <w:t xml:space="preserve">Контрагент и реквизиты операции: ООО «Василёк», ИНН 7712345678, договор поставки № 7 от 09.01.2026, счёт-фактура № 214 от 12.05.2026 на сумму 1 260 000 руб., в том числе НДС.</w:t>
      </w:r>
    </w:p>
    <w:p>
      <w:pPr>
        <w:ind w:firstLine="425"/>
      </w:pPr>
      <w:r>
        <w:t xml:space="preserve">Счета-фактуры оформлены в соответствии с установленными требованиями и содержат все обязательные реквизиты (ст. 169 НК РФ).</w:t>
      </w:r>
    </w:p>
    <w:p>
      <w:pPr>
        <w:ind w:firstLine="425"/>
      </w:pPr>
      <w:r>
        <w:t xml:space="preserve">Право на вычет подтверждено принятием товаров, работ и услуг к учёту при наличии надлежаще оформленных счетов-фактур и использовании приобретённого в облагаемой деятельности (ст. 171 НК РФ).</w:t>
      </w:r>
    </w:p>
    <w:p>
      <w:pPr>
        <w:ind w:firstLine="425"/>
      </w:pPr>
      <w:r>
        <w:t xml:space="preserve">Налоговая база не занижена, сумма налога к уплате не изменяется, оснований для представления уточнённой налоговой декларации не имеется (ст. 88 НК РФ).</w:t>
      </w:r>
    </w:p>
    <w:p>
      <w:pPr>
        <w:pStyle w:val="ClauseHeading"/>
      </w:pPr>
      <w:r>
        <w:rPr>
          <w:b/>
        </w:rPr>
        <w:t xml:space="preserve">Пояснения по расхождениям между формами отчётности</w:t>
      </w:r>
    </w:p>
    <w:p>
      <w:pPr>
        <w:ind w:firstLine="425"/>
      </w:pPr>
      <w:r>
        <w:t xml:space="preserve">Требование мотивировано несопоставимостью показателей разных форм налоговой отчётности за один период.</w:t>
      </w:r>
    </w:p>
    <w:p>
      <w:pPr>
        <w:ind w:firstLine="425"/>
      </w:pPr>
      <w:r>
        <w:t xml:space="preserve">Пояснения по выявленному расхождению: разница 84 300 руб. между разделом 2 расчёта 6-НДФЛ и разделом 1 расчёта по страховым взносам за полугодие образована выплатой по договору аренды помещения у физического лица: она облагается НДФЛ, но не является объектом обложения страховыми взносами.</w:t>
      </w:r>
    </w:p>
    <w:p>
      <w:pPr>
        <w:ind w:firstLine="425"/>
      </w:pPr>
      <w:r>
        <w:t xml:space="preserve">Расхождение между расчётом сумм налога на доходы физических лиц и расчётом по страховым взносам само по себе ошибкой не является: базы этих платежей формируются по разным правилам и совпадать не обязаны.</w:t>
      </w:r>
    </w:p>
    <w:p>
      <w:pPr>
        <w:ind w:firstLine="425"/>
      </w:pPr>
      <w:r>
        <w:t xml:space="preserve">Типовые причины расхождения перечислены ниже, и почти всякое требование закрывается одной из них.</w:t>
      </w:r>
    </w:p>
    <w:p>
      <w:pPr>
        <w:ind w:firstLine="425"/>
      </w:pPr>
      <w:r>
        <w:t xml:space="preserve">Выплаты по договорам аренды и иным гражданско-правовым договорам, которые облагаются налогом на доходы физических лиц, но не являются объектом обложения страховыми взносами.</w:t>
      </w:r>
    </w:p>
    <w:p>
      <w:pPr>
        <w:ind w:firstLine="425"/>
      </w:pPr>
      <w:r>
        <w:t xml:space="preserve">Материальная выгода, дивиденды и иные доходы, не связанные с трудовыми отношениями.</w:t>
      </w:r>
    </w:p>
    <w:p>
      <w:pPr>
        <w:ind w:firstLine="425"/>
      </w:pPr>
      <w:r>
        <w:t xml:space="preserve">Выплаты, освобождённые от налога на доходы физических лиц, но включаемые в базу по страховым взносам, а также обратные ситуации.</w:t>
      </w:r>
    </w:p>
    <w:p>
      <w:pPr>
        <w:ind w:firstLine="425"/>
      </w:pPr>
      <w:r>
        <w:t xml:space="preserve">Объект обложения страховыми взносами определяется отдельно от налоговой базы по налогу на доходы физических лиц (ст. 420 НК РФ).</w:t>
      </w:r>
    </w:p>
    <w:p>
      <w:pPr>
        <w:ind w:firstLine="425"/>
      </w:pPr>
      <w:r>
        <w:t xml:space="preserve">Налоговая база по налогу на доходы физических лиц включает все доходы, полученные налогоплательщиком, за исключением освобождённых (ст. 210 НК РФ).</w:t>
      </w:r>
    </w:p>
    <w:p>
      <w:pPr>
        <w:ind w:firstLine="425"/>
      </w:pPr>
      <w:r>
        <w:t xml:space="preserve">Обязанности налогового агента по исчислению, удержанию и перечислению налога исполнены в установленные сроки (ст. 226 НК РФ).</w:t>
      </w:r>
    </w:p>
    <w:p>
      <w:pPr>
        <w:ind w:firstLine="425"/>
      </w:pPr>
      <w:r>
        <w:t xml:space="preserve">Показатели отчётности сформированы верно, налоговая база не занижена, основания для представления уточнённых расчётов отсутствуют (ст. 88 НК РФ).</w:t>
      </w:r>
    </w:p>
    <w:p>
      <w:pPr>
        <w:pStyle w:val="ClauseHeading"/>
      </w:pPr>
      <w:r>
        <w:rPr>
          <w:b/>
        </w:rPr>
        <w:t xml:space="preserve">Пояснения о налоговой нагрузке, доле вычетов и заработной плате</w:t>
      </w:r>
    </w:p>
    <w:p>
      <w:pPr>
        <w:ind w:firstLine="425"/>
      </w:pPr>
      <w:r>
        <w:t xml:space="preserve">Требование мотивировано отклонением показателей деятельности от среднеотраслевых значений.</w:t>
      </w:r>
    </w:p>
    <w:p>
      <w:pPr>
        <w:ind w:firstLine="425"/>
      </w:pPr>
      <w:r>
        <w:t xml:space="preserve">Пояснения по существу отклонения: доля вычетов 96,4 % за квартал вызвана закупкой оборудования на 12,4 млн руб. для нового цеха; выручка от его эксплуатации ожидается с IV квартала 2026 года.</w:t>
      </w:r>
    </w:p>
    <w:p>
      <w:pPr>
        <w:ind w:firstLine="425"/>
      </w:pPr>
      <w:r>
        <w:t xml:space="preserve">Сведения о заработной плате: средняя зарплата 41 200 руб. при среднеотраслевом уровне 46 800 руб.; в штате шесть работников на неполном рабочем времени.</w:t>
      </w:r>
    </w:p>
    <w:p>
      <w:pPr>
        <w:ind w:firstLine="425"/>
      </w:pPr>
      <w:r>
        <w:t xml:space="preserve">Отклонение налоговой нагрузки или доли вычетов от среднеотраслевых значений не является налоговым правонарушением: эти показатели используются налоговыми органами как критерии отбора для планирования проверок, а не как основание для доначислений.</w:t>
      </w:r>
    </w:p>
    <w:p>
      <w:pPr>
        <w:ind w:firstLine="425"/>
      </w:pPr>
      <w:r>
        <w:t xml:space="preserve">Вычеты заявлены при выполнении установленных условий: товары, работы и услуги приняты к учёту, счета-фактуры получены, приобретённое используется в облагаемой деятельности (ст. 171 НК РФ).</w:t>
      </w:r>
    </w:p>
    <w:p>
      <w:pPr>
        <w:ind w:firstLine="425"/>
      </w:pPr>
      <w:r>
        <w:t xml:space="preserve">Расходы, учтённые при формировании налоговой базы, обоснованы, документально подтверждены и произведены для деятельности, направленной на получение дохода (ст. 252 НК РФ).</w:t>
      </w:r>
    </w:p>
    <w:p>
      <w:pPr>
        <w:ind w:firstLine="425"/>
      </w:pPr>
      <w:r>
        <w:t xml:space="preserve">Уменьшение налоговой базы в результате реальных хозяйственных операций, исполненных надлежащей стороной договора, не является искажением сведений о фактах хозяйственной жизни (ст. 54.1 НК РФ).</w:t>
      </w:r>
    </w:p>
    <w:p>
      <w:pPr>
        <w:ind w:firstLine="425"/>
      </w:pPr>
      <w:r>
        <w:t xml:space="preserve">Заработная плата всем работникам выплачивается в размере не ниже минимального размера оплаты труда, установленного в регионе, выплаты в неучтённой форме не производятся.</w:t>
      </w:r>
    </w:p>
    <w:p>
      <w:pPr>
        <w:ind w:firstLine="425"/>
      </w:pPr>
      <w:r>
        <w:t xml:space="preserve">Основания для представления уточнённых деклараций отсутствуют (ст. 88 НК РФ).</w:t>
      </w:r>
    </w:p>
    <w:p>
      <w:pPr>
        <w:pStyle w:val="ClauseHeading"/>
      </w:pPr>
      <w:r>
        <w:rPr>
          <w:b/>
        </w:rPr>
        <w:t xml:space="preserve">Пояснения по убыткам</w:t>
      </w:r>
    </w:p>
    <w:p>
      <w:pPr>
        <w:ind w:firstLine="425"/>
      </w:pPr>
      <w:r>
        <w:t xml:space="preserve">Пояснения представляются в связи с отражением в налоговой декларации убытка за проверяемый период.</w:t>
      </w:r>
    </w:p>
    <w:p>
      <w:pPr>
        <w:ind w:firstLine="425"/>
      </w:pPr>
      <w:r>
        <w:t xml:space="preserve">Причины возникновения убытка: Убыток вызван запуском нового производственного участка: единовременные расходы на аренду и пусконаладку 8,4 млн руб. при выходе на плановую выручку только в 4-м квартале.</w:t>
      </w:r>
    </w:p>
    <w:p>
      <w:pPr>
        <w:ind w:firstLine="425"/>
      </w:pPr>
      <w:r>
        <w:t xml:space="preserve">Расходы, учтённые при формировании налоговой базы, экономически обоснованы, документально подтверждены и произведены для осуществления деятельности, направленной на получение дохода (ст. 252 НК РФ).</w:t>
      </w:r>
    </w:p>
    <w:p>
      <w:pPr>
        <w:ind w:firstLine="425"/>
      </w:pPr>
      <w:r>
        <w:t xml:space="preserve">Учёт доходов и расходов ведётся в соответствии с принятой учётной политикой, регистры налогового учёта сформированы и могут быть представлены по отдельному требованию (ст. 313 НК РФ).</w:t>
      </w:r>
    </w:p>
    <w:p>
      <w:pPr>
        <w:ind w:firstLine="425"/>
      </w:pPr>
      <w:r>
        <w:t xml:space="preserve">Убыток носит объективный характер и не связан с искажением сведений о фактах хозяйственной жизни или об объектах налогообложения (ст. 54.1 НК РФ).</w:t>
      </w:r>
    </w:p>
    <w:p>
      <w:pPr>
        <w:ind w:firstLine="425"/>
      </w:pPr>
      <w:r>
        <w:t xml:space="preserve">При камеральной проверке декларации с заявленным убытком налоговый орган вправе истребовать пояснения, обосновывающие его размер; такие пояснения настоящим представлены (ст. 88 НК РФ).</w:t>
      </w:r>
    </w:p>
    <w:p>
      <w:pPr>
        <w:pStyle w:val="ClauseHeading"/>
      </w:pPr>
      <w:r>
        <w:rPr>
          <w:b/>
        </w:rPr>
        <w:t xml:space="preserve">Расшифровка по позициям требования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78"/>
        <w:gridCol w:w="1928"/>
        <w:gridCol w:w="1735"/>
        <w:gridCol w:w="1349"/>
        <w:gridCol w:w="1542"/>
        <w:gridCol w:w="964"/>
        <w:gridCol w:w="1542"/>
      </w:tblGrid>
      <w:t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Позиция требования</w:t>
            </w:r>
          </w:p>
        </w:tc>
        <w:tc>
          <w:tcPr>
            <w:tcW w:w="9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Существо замечания</w:t>
            </w:r>
          </w:p>
        </w:tc>
        <w:tc>
          <w:tcPr>
            <w:tcW w:w="7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Причина</w:t>
            </w:r>
          </w:p>
        </w:tc>
        <w:tc>
          <w:tcPr>
            <w:tcW w:w="8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Документ</w:t>
            </w:r>
          </w:p>
        </w:tc>
        <w:tc>
          <w:tcPr>
            <w:tcW w:w="5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 руб.</w:t>
            </w:r>
          </w:p>
        </w:tc>
        <w:tc>
          <w:tcPr>
            <w:tcW w:w="8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Влияние на налог</w:t>
            </w:r>
          </w:p>
        </w:tc>
      </w:tr>
      <w:t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  <w:r>
              <w:t xml:space="preserve">100 000</w:t>
            </w: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Отвечайте по позициям требования в том же порядке и с теми же обозначениями, которые использует инспекция: номер строки, код вида операции, код ошибки. Ответ, который невозможно сопоставить с требованием построчно, инспектор считает неполным.</w:t>
      </w:r>
    </w:p>
    <w:p>
      <w:pPr>
        <w:ind w:firstLine="425"/>
      </w:pPr>
      <w:r>
        <w:t xml:space="preserve">По каждой позиции нужны три вещи: причина расхождения, документ, который её подтверждает, и вывод о том, изменяется ли сумма налога.</w:t>
      </w:r>
    </w:p>
    <w:p>
      <w:pPr>
        <w:ind w:firstLine="425"/>
      </w:pPr>
      <w:r>
        <w:t xml:space="preserve">Если хотя бы по одной позиции налог действительно занижен, по ней подают уточнённую декларацию, а в пояснениях указывают её реквизиты. Смешивать признание ошибки и спор в одном абзаце не нужно — разведите их по строкам.</w:t>
      </w:r>
    </w:p>
    <w:p>
      <w:pPr>
        <w:ind w:firstLine="425"/>
      </w:pPr>
      <w:r>
        <w:t xml:space="preserve">Суммы указывайте с точностью до копеек и ровно так, как они отражены в первичных документах и регистрах: расхождение в округлении инспекция читает как новую ошибку.</w:t>
      </w:r>
    </w:p>
    <w:p>
      <w:pPr>
        <w:pStyle w:val="ClauseHeading"/>
      </w:pPr>
      <w:r>
        <w:rPr>
          <w:b/>
        </w:rPr>
        <w:t xml:space="preserve">Представление документов по требованию</w:t>
      </w:r>
    </w:p>
    <w:p>
      <w:pPr>
        <w:ind w:firstLine="425"/>
      </w:pPr>
      <w:r>
        <w:t xml:space="preserve">Документы, истребованные по требованию, представляются по перечню и в объёме, указанным в описи.</w:t>
      </w:r>
    </w:p>
    <w:p>
      <w:pPr>
        <w:ind w:firstLine="425"/>
      </w:pPr>
      <w:r>
        <w:t xml:space="preserve">Перечень представляемых документов: Счёт-фактура № 214 от 12.05.2025, товарная накладная № 198 от 12.05.2025, договор поставки № 7 от 09.01.2025, карточка счёта 60 по контрагенту — 4 документа на 9 листах.</w:t>
      </w:r>
    </w:p>
    <w:p>
      <w:pPr>
        <w:ind w:firstLine="425"/>
      </w:pPr>
      <w:r>
        <w:t xml:space="preserve">Объём и способ представления: 14 документов на 42 листах, заверенные копии на бумажном носителе, прошиты и пронумерованы; опись на 1 листе.</w:t>
      </w:r>
    </w:p>
    <w:p>
      <w:pPr>
        <w:ind w:firstLine="425"/>
      </w:pPr>
      <w:r>
        <w:t xml:space="preserve">Копии документов на бумажном носителе заверены налогоплательщиком: на каждой копии проставлены отметка о заверении, должность и подпись заверившего лица, его фамилия и инициалы, дата заверения (ст. 93 НК РФ).</w:t>
      </w:r>
    </w:p>
    <w:p>
      <w:pPr>
        <w:ind w:firstLine="425"/>
      </w:pPr>
      <w:r>
        <w:t xml:space="preserve">Нотариальное удостоверение представляемых копий не требуется, если иное прямо не предусмотрено законодательством Российской Федерации.</w:t>
      </w:r>
    </w:p>
    <w:p>
      <w:pPr>
        <w:ind w:firstLine="425"/>
      </w:pPr>
      <w:r>
        <w:t xml:space="preserve">Многолистные документы заверяются на сшиве с указанием количества листов; истребованные подлинники представляются для ознакомления по месту нахождения налогового органа и возвращаются налогоплательщику.</w:t>
      </w:r>
    </w:p>
    <w:p>
      <w:pPr>
        <w:pStyle w:val="ClauseHeading"/>
      </w:pPr>
      <w:r>
        <w:rPr>
          <w:b/>
        </w:rPr>
        <w:t xml:space="preserve">Пояснения по разрыву в цепочке контрагентов</w:t>
      </w:r>
    </w:p>
    <w:p>
      <w:pPr>
        <w:ind w:firstLine="425"/>
      </w:pPr>
      <w:r>
        <w:t xml:space="preserve">Требование мотивировано расхождением, выявленным по цепочке поставщиков, в которой налогоплательщик не является ни организатором операций, ни выгодоприобретателем.</w:t>
      </w:r>
    </w:p>
    <w:p>
      <w:pPr>
        <w:ind w:firstLine="425"/>
      </w:pPr>
      <w:r>
        <w:t xml:space="preserve">Контрагент и реквизиты сделки: ООО «Василёк», ИНН 7712345678, договор поставки № 7 от 09.01.2026, счёт-фактура № 214 от 12.05.2026 на сумму 1 260 000 руб., в том числе НДС.</w:t>
      </w:r>
    </w:p>
    <w:p>
      <w:pPr>
        <w:ind w:firstLine="425"/>
      </w:pPr>
      <w:r>
        <w:t xml:space="preserve">Сделка носит реальный характер: товар получен, работы выполнены, услуги оказаны, результат принят к учёту, оплата произведена в безналичном порядке, приобретённое использовано в облагаемой деятельности.</w:t>
      </w:r>
    </w:p>
    <w:p>
      <w:pPr>
        <w:ind w:firstLine="425"/>
      </w:pPr>
      <w:r>
        <w:t xml:space="preserve">При выборе контрагента проявлена должная осмотрительность: проверены сведения из ЕГРЮЛ, полномочия подписантов, наличие у контрагента ресурсов, необходимых для исполнения сделки.</w:t>
      </w:r>
    </w:p>
    <w:p>
      <w:pPr>
        <w:ind w:firstLine="425"/>
      </w:pPr>
      <w:r>
        <w:t xml:space="preserve">Обязательство по сделке исполнено лицом, являющимся стороной договора, искажение сведений о фактах хозяйственной жизни отсутствует (ст. 54.1 НК РФ).</w:t>
      </w:r>
    </w:p>
    <w:p>
      <w:pPr>
        <w:ind w:firstLine="425"/>
      </w:pPr>
      <w:r>
        <w:t xml:space="preserve">Законодательство о налогах и сборах не возлагает на налогоплательщика обязанность отвечать за исполнение налоговых обязанностей третьими лицами, не являющимися стороной его сделки, и представлять документы за таких лиц (ст. 23 НК РФ).</w:t>
      </w:r>
    </w:p>
    <w:p>
      <w:pPr>
        <w:pStyle w:val="ClauseHeading"/>
      </w:pPr>
      <w:r>
        <w:rPr>
          <w:b/>
        </w:rPr>
        <w:t xml:space="preserve">Ответ на требование вне рамок налоговой проверки</w:t>
      </w:r>
    </w:p>
    <w:p>
      <w:pPr>
        <w:ind w:firstLine="425"/>
      </w:pPr>
      <w:r>
        <w:t xml:space="preserve">Требование выставлено вне рамок проведения налоговых проверок, в связи с чем оно должно содержать указание на конкретную сделку, относительно которой истребуются документы и информация (ст. 93.1 НК РФ).</w:t>
      </w:r>
    </w:p>
    <w:p>
      <w:pPr>
        <w:ind w:firstLine="425"/>
      </w:pPr>
      <w:r>
        <w:t xml:space="preserve">Сведения по указанной в требовании сделке: ООО «Василёк», ИНН 7712345678, договор поставки № 7 от 09.01.2026, счёт-фактура № 214 от 12.05.2026 на сумму 1 260 000 руб., в том числе НДС.</w:t>
      </w:r>
    </w:p>
    <w:p>
      <w:pPr>
        <w:ind w:firstLine="425"/>
      </w:pPr>
      <w:r>
        <w:t xml:space="preserve">По названной сделке представляются документы и информация в объёме, позволяющем её идентифицировать: Счёт-фактура № 214 от 12.05.2025, товарная накладная № 198 от 12.05.2025, договор поставки № 7 от 09.01.2025, карточка счёта 60 по контрагенту — 4 документа на 9 листах.</w:t>
      </w:r>
    </w:p>
    <w:p>
      <w:pPr>
        <w:ind w:firstLine="425"/>
      </w:pPr>
      <w:r>
        <w:t xml:space="preserve">Документы и информация, не относящиеся к сделке, названной в требовании, не представляются как выходящие за пределы основания истребования.</w:t>
      </w:r>
    </w:p>
    <w:p>
      <w:pPr>
        <w:ind w:firstLine="425"/>
      </w:pPr>
      <w:r>
        <w:t xml:space="preserve">Срок представления документов по такому требованию составляет десять рабочих дней, а информации относительно конкретной сделки — пять рабочих дней со дня получения требования.</w:t>
      </w:r>
    </w:p>
    <w:p>
      <w:pPr>
        <w:ind w:firstLine="425"/>
      </w:pPr>
      <w:r>
        <w:t xml:space="preserve">При отсутствии в требовании указания на конкретную сделку налогоплательщик сообщает об этом в ответе и просит уточнить основание истребования.</w:t>
      </w:r>
    </w:p>
    <w:p>
      <w:pPr>
        <w:pStyle w:val="ClauseHeading"/>
      </w:pPr>
      <w:r>
        <w:rPr>
          <w:b/>
        </w:rPr>
        <w:t xml:space="preserve">Мотивированный отказ представить документы</w:t>
      </w:r>
    </w:p>
    <w:p>
      <w:pPr>
        <w:ind w:firstLine="425"/>
      </w:pPr>
      <w:r>
        <w:t xml:space="preserve">Сообщаем о невозможности представить часть истребованных документов и приводим основания отказа.</w:t>
      </w:r>
    </w:p>
    <w:p>
      <w:pPr>
        <w:ind w:firstLine="425"/>
      </w:pPr>
      <w:r>
        <w:t xml:space="preserve">Что не представляется: Документы по взаимоотношениям с ООО «Василёк» за 2019 год (пункт 4 требования): договоры, акты выполненных работ, счета-фактуры.</w:t>
      </w:r>
    </w:p>
    <w:p>
      <w:pPr>
        <w:ind w:firstLine="425"/>
      </w:pPr>
      <w:r>
        <w:t xml:space="preserve">Причина непредставления: Документы уничтожены по истечении срока хранения, акт о выделении к уничтожению № 3 от 15.02.2025; часть из них ранее представлялась по требованию № 12-15/40117 от 03.03.2024.</w:t>
      </w:r>
    </w:p>
    <w:p>
      <w:pPr>
        <w:ind w:firstLine="425"/>
      </w:pPr>
      <w:r>
        <w:t xml:space="preserve">Истребованные документы не относятся к предмету проверки и к периоду, указанному в требовании, в связи с чем обязанность по их представлению отсутствует (ст. 93 НК РФ).</w:t>
      </w:r>
    </w:p>
    <w:p>
      <w:pPr>
        <w:ind w:firstLine="425"/>
      </w:pPr>
      <w:r>
        <w:t xml:space="preserve">Налогоплательщик вправе не выполнять неправомерные акты и требования налоговых органов и их должностных лиц, не соответствующие законодательству о налогах и сборах (ст. 21 НК РФ).</w:t>
      </w:r>
    </w:p>
    <w:p>
      <w:pPr>
        <w:ind w:firstLine="425"/>
      </w:pPr>
      <w:r>
        <w:t xml:space="preserve">Отказ является мотивированным, дан по каждому пункту требования и не препятствует представлению документов после устранения налоговым органом недостатков требования.</w:t>
      </w:r>
    </w:p>
    <w:p>
      <w:pPr>
        <w:pStyle w:val="ClauseHeading"/>
      </w:pPr>
      <w:r>
        <w:rPr>
          <w:b/>
        </w:rPr>
        <w:t xml:space="preserve">Ходатайство о продлении срока</w:t>
      </w:r>
    </w:p>
    <w:p>
      <w:pPr>
        <w:ind w:firstLine="425"/>
      </w:pPr>
      <w:r>
        <w:t xml:space="preserve">Одновременно уведомляем о невозможности представить истребованные документы в установленный срок и ходатайствуем о его продлении.</w:t>
      </w:r>
    </w:p>
    <w:p>
      <w:pPr>
        <w:ind w:firstLine="425"/>
      </w:pPr>
      <w:r>
        <w:t xml:space="preserve">Причины, по которым документы не могут быть представлены в срок: истребовано 1 240 документов за три года; главный бухгалтер находится в отпуске по 15.07.2026, копирование требует не менее 20 рабочих дней.</w:t>
      </w:r>
    </w:p>
    <w:p>
      <w:pPr>
        <w:ind w:firstLine="425"/>
      </w:pPr>
      <w:r>
        <w:t xml:space="preserve">Уведомление направлено в течение дня, следующего за днём получения требования, как это предусмотрено порядком представления документов (ст. 93 НК РФ).</w:t>
      </w:r>
    </w:p>
    <w:p>
      <w:pPr>
        <w:ind w:firstLine="425"/>
      </w:pPr>
      <w:r>
        <w:t xml:space="preserve">Просим продлить срок представления документов и уведомить о принятом решении тем же каналом, которым получено требование.</w:t>
      </w:r>
    </w:p>
    <w:p>
      <w:pPr>
        <w:ind w:firstLine="425"/>
      </w:pPr>
      <w:r>
        <w:t xml:space="preserve">До получения решения о продлении налогоплательщик продолжает подготовку документов и представляет их по мере готовности отдельными партиями с описью.</w:t>
      </w:r>
    </w:p>
    <w:p>
      <w:pPr>
        <w:pStyle w:val="ClauseHeading"/>
      </w:pPr>
      <w:r>
        <w:rPr>
          <w:b/>
        </w:rPr>
        <w:t xml:space="preserve">Порядок направления ответа</w:t>
      </w:r>
    </w:p>
    <w:p>
      <w:pPr>
        <w:ind w:firstLine="425"/>
      </w:pPr>
      <w:r>
        <w:t xml:space="preserve">Ответ направляется в налоговый орган, выставивший требование, тем же способом, которым получено требование: по телекоммуникационным каналам связи.</w:t>
      </w:r>
    </w:p>
    <w:p>
      <w:pPr>
        <w:ind w:firstLine="425"/>
      </w:pPr>
      <w:r>
        <w:t xml:space="preserve">Контактное лицо по вопросам, связанным с настоящим ответом: главный бухгалтер Смирнова Ольга Петровна, тел. +7 (495) 000-00-00, buh@example.ru.</w:t>
      </w:r>
    </w:p>
    <w:p>
      <w:pPr>
        <w:ind w:firstLine="425"/>
      </w:pPr>
      <w:r>
        <w:t xml:space="preserve">Перечисленные приложения являются неотъемлемой частью ответа и передаются вместе с ним по описи.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Опись документов, представляемых с ответом</w:t>
      </w:r>
    </w:p>
    <w:p>
      <w:pPr>
        <w:ind w:firstLine="425"/>
      </w:pPr>
      <w:r>
        <w:t xml:space="preserve">Опись к ответу на требование № 12-15/48219 от 01.01.2026, направляемому в Инспекцию ФНС России № 7 по г. Москве.</w:t>
      </w:r>
    </w:p>
    <w:p>
      <w:pPr>
        <w:ind w:firstLine="425"/>
      </w:pPr>
      <w:r>
        <w:t xml:space="preserve">Опись составляют всегда, даже когда документов два: она фиксирует, что именно и в каком объёме передано, и снимает половину будущих споров о непредставлении.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90"/>
        <w:gridCol w:w="2754"/>
        <w:gridCol w:w="1770"/>
        <w:gridCol w:w="1967"/>
        <w:gridCol w:w="2557"/>
      </w:tblGrid>
      <w:t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42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документа</w:t>
            </w:r>
          </w:p>
        </w:tc>
        <w:tc>
          <w:tcPr>
            <w:tcW w:w="91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Номер и дата</w:t>
            </w:r>
          </w:p>
        </w:tc>
        <w:tc>
          <w:tcPr>
            <w:tcW w:w="102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 листов</w:t>
            </w:r>
          </w:p>
        </w:tc>
        <w:tc>
          <w:tcPr>
            <w:tcW w:w="132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Форма представления</w:t>
            </w: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7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Всего представлено документов: ______ на ______ листах.</w:t>
      </w:r>
    </w:p>
    <w:p>
      <w:pPr>
        <w:ind w:firstLine="425"/>
      </w:pPr>
      <w:r>
        <w:t xml:space="preserve">В графе «Форма представления» указывают, передан документ в электронном виде по телекоммуникационным каналам связи, в виде скан-образа или на бумажном носителе заверенной копией.</w:t>
      </w:r>
    </w:p>
    <w:p>
      <w:pPr>
        <w:ind w:firstLine="425"/>
      </w:pPr>
      <w:r>
        <w:t xml:space="preserve">Копии на бумаге заверяет налогоплательщик: на каждой копии проставляют отметку о заверении, должность, подпись с расшифровкой и дату. Нотариальное заверение копий налоговый орган требовать не вправе.</w:t>
      </w:r>
    </w:p>
    <w:p>
      <w:pPr>
        <w:ind w:firstLine="425"/>
      </w:pPr>
      <w:r>
        <w:t xml:space="preserve">Многостраничные документы допускается заверять одной отметкой на прошивке, если листы пронумерованы и прошиты в соответствии с установленными требованиями.</w:t>
      </w:r>
    </w:p>
    <w:p>
      <w:pPr>
        <w:ind w:firstLine="425"/>
      </w:pPr>
      <w:r>
        <w:t xml:space="preserve">Экземпляр описи с отметкой о приёме сохраните: именно он подтверждает объём и дату представления, если инспекция позднее заявит о неполном исполнении требования.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Налогоплательщик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Налогоплательщик ____________ / Иванов И. И.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«Ответ на требование ИФНС» с сайта primadoc.ru. Документ, заполненный под вашу ситуацию, собирается в конструкторе: https://primadoc.ru/doc/otvet-na-trebovanie-ifns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Ответ на требование ИФНС — образец заполнения</dc:title>
  <dc:creator>Примадок</dc:creator>
  <dcterms:created xsi:type="dcterms:W3CDTF">2026-09-13T13:24:48Z</dcterms:created>
</cp:coreProperties>
</file>