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Отчёт о расходе основных материалов в строительстве в сопоставлении с производственными нормами (форма М-29)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Объект, период и основание отчёта</w:t>
      </w:r>
    </w:p>
    <w:p>
      <w:pPr>
        <w:ind w:firstLine="425"/>
      </w:pPr>
      <w:r>
        <w:t xml:space="preserve">Отчёт № 3 составлен по объекту строительства: Жилой дом со встроенными помещениями по ул. Садовая, 14, адрес — г. Тверь, ул. Садовая, д. 14, за период с 01.08.2026 по 31.08.2026.</w:t>
      </w:r>
    </w:p>
    <w:p>
      <w:pPr>
        <w:ind w:firstLine="425"/>
      </w:pPr>
      <w:r>
        <w:t xml:space="preserve">Работы, по которым сопоставляется расход материалов, выполняются на основании договора строительного подряда № 14 от 03.03.2026; объёмы, взятые в расчёт нормативной потребности, должны совпадать с объёмами, зафиксированными в актах приёмки выполненных работ по этому договору (ст. 753 ГК РФ).</w:t>
      </w:r>
    </w:p>
    <w:p>
      <w:pPr>
        <w:ind w:firstLine="425"/>
      </w:pPr>
      <w:r>
        <w:t xml:space="preserve">Практика сопоставления нормативного и фактического расхода материалов в строительстве восходит к Указаниям по применению и заполнению форм первичной учётной документации по учёту работ в капитальном строительстве, утверждённым ЦСУ СССР 24.11.1982 № 613 (форма М-29); настоящий отчёт не воспроизводит текст того бланка, а сохраняет только состав обязательных реквизитов первичного учётного документа, требуемый действующим законом о бухгалтерском учёте (ст. 9 402-ФЗ).</w:t>
      </w:r>
    </w:p>
    <w:p>
      <w:pPr>
        <w:pStyle w:val="ClauseHeading"/>
      </w:pPr>
      <w:r>
        <w:rPr>
          <w:b/>
        </w:rPr>
        <w:t xml:space="preserve">Зачем сопоставлять норму и факт</w:t>
      </w:r>
    </w:p>
    <w:p>
      <w:pPr>
        <w:ind w:firstLine="425"/>
      </w:pPr>
      <w:r>
        <w:t xml:space="preserve">Отчёт решает практическую задачу: показать, сколько материала должно было уйти на фактически выполненный объём работ по производственным нормам, и сколько реально ушло по данным склада, а затем на основании разницы принять обоснованное решение о списании материалов в затраты по объекту.</w:t>
      </w:r>
    </w:p>
    <w:p>
      <w:pPr>
        <w:ind w:firstLine="425"/>
      </w:pPr>
      <w:r>
        <w:t xml:space="preserve">Если фактический расход укладывается в норму или меньше её, материалы списываются в затраты по расчётной норме без дополнительных объяснений. Если факт превышает норму, перерасход не списывается автоматически — нужен объяснённый и утверждённый вывод, иначе бухгалтерия рискует признать расход неподтверждённым (ст. 9 402-ФЗ).</w:t>
      </w:r>
    </w:p>
    <w:p>
      <w:pPr>
        <w:ind w:firstLine="425"/>
      </w:pPr>
      <w:r>
        <w:t xml:space="preserve">Отчёт не заменяет накладные, требования-накладные и лимитно-заборные карты, по которым материал физически выдавался со склада, — он их итоговый свод за период по конкретному объекту.</w:t>
      </w:r>
    </w:p>
    <w:p>
      <w:pPr>
        <w:pStyle w:val="ClauseHeading"/>
      </w:pPr>
      <w:r>
        <w:rPr>
          <w:b/>
        </w:rPr>
        <w:t xml:space="preserve">Нормативная потребность в материалах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831"/>
        <w:gridCol w:w="1163"/>
        <w:gridCol w:w="997"/>
        <w:gridCol w:w="1330"/>
        <w:gridCol w:w="1496"/>
        <w:gridCol w:w="1330"/>
        <w:gridCol w:w="1994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 работ</w:t>
            </w:r>
          </w:p>
        </w:tc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работ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Материал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 материала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на единицу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Нормативная потребность</w:t>
            </w: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Нормативную потребность по каждой строке считают как объём выполненных работ, умноженный на производственную норму расхода материала на единицу этого объёма; норму берут из сборников производственных норм расхода материалов в строительстве или из локальной сметы по объекту.</w:t>
      </w:r>
    </w:p>
    <w:p>
      <w:pPr>
        <w:ind w:firstLine="425"/>
      </w:pPr>
      <w:r>
        <w:t xml:space="preserve">Если на объекте применяется несколько норм для одного материала — например, разные нормы для зимнего и летнего периода укладки, — в отчёт вносят отдельную строку на каждый период, а не усредняют норму произвольно.</w:t>
      </w:r>
    </w:p>
    <w:p>
      <w:pPr>
        <w:pStyle w:val="ClauseHeading"/>
      </w:pPr>
      <w:r>
        <w:rPr>
          <w:b/>
        </w:rPr>
        <w:t xml:space="preserve">Фактический расход и отклонение от нормы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428"/>
        <w:gridCol w:w="714"/>
        <w:gridCol w:w="1428"/>
        <w:gridCol w:w="1963"/>
        <w:gridCol w:w="1785"/>
        <w:gridCol w:w="1785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Материал</w:t>
            </w:r>
          </w:p>
        </w:tc>
        <w:tc>
          <w:tcPr>
            <w:tcW w:w="3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по расчёту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Фактический расход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отклонения</w:t>
            </w: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Норму по расчёту переносят из предыдущей таблицы по каждому материалу, а фактический расход берут из данных складского учёта за отчётный период — из накладных, требований-накладных и лимитно-заборных карт, по которым материал реально списывался подразделению или бригаде.</w:t>
      </w:r>
    </w:p>
    <w:p>
      <w:pPr>
        <w:ind w:firstLine="425"/>
      </w:pPr>
      <w:r>
        <w:t xml:space="preserve">Отклонение считают как разницу «факт минус норма»: отрицательное значение — экономия, положительное — перерасход. Экономия сама по себе объяснения не требует, но не должна использоваться как повод списать материал сверх фактически потраченного количества.</w:t>
      </w:r>
    </w:p>
    <w:p>
      <w:pPr>
        <w:pStyle w:val="ClauseHeading"/>
      </w:pPr>
      <w:r>
        <w:rPr>
          <w:b/>
        </w:rPr>
        <w:t xml:space="preserve">Если перерасхода нет</w:t>
      </w:r>
    </w:p>
    <w:p>
      <w:pPr>
        <w:ind w:firstLine="425"/>
      </w:pPr>
      <w:r>
        <w:t xml:space="preserve">По итогам сопоставления фактический расход по каждому материалу не превышает нормативную потребность: где-то есть экономия, где-то расход точно укладывается в норму.</w:t>
      </w:r>
    </w:p>
    <w:p>
      <w:pPr>
        <w:ind w:firstLine="425"/>
      </w:pPr>
      <w:r>
        <w:t xml:space="preserve">В этом случае материалы списываются на затраты по объекту в пределах нормативной потребности, рассчитанной в разделе выше; дополнительных объяснений, объяснительных записок и отдельных актов отчёт не требует.</w:t>
      </w:r>
    </w:p>
    <w:p>
      <w:pPr>
        <w:ind w:firstLine="425"/>
      </w:pPr>
      <w:r>
        <w:t xml:space="preserve">производитель работ (прораб) Кузнецов Игорь Валерьевич подтверждает подписью, что физический объём выполненных работ соответствует данным отчёта, инженер производственно-технического отдела Волкова Анна Сергеевна — что нормы расхода применены верно и расчёт нормативной потребности выполнен без ошибок, а главный инженер участка Прохоров Сергей Николаевич утверждает списание материалов по отчёту в целом.</w:t>
      </w:r>
    </w:p>
    <w:p>
      <w:pPr>
        <w:pStyle w:val="ClauseHeading"/>
      </w:pPr>
      <w:r>
        <w:rPr>
          <w:b/>
        </w:rPr>
        <w:t xml:space="preserve">Причина перерасхода: замена материала</w:t>
      </w:r>
    </w:p>
    <w:p>
      <w:pPr>
        <w:ind w:firstLine="425"/>
      </w:pPr>
      <w:r>
        <w:t xml:space="preserve">Перерасход возник из-за того, что в ходе работ материал, заложенный в норму, заменили на аналог — с иным расходом на единицу объёма, другой фасовкой или более высоким процентом отходов при раскрое или укладке.</w:t>
      </w:r>
    </w:p>
    <w:p>
      <w:pPr>
        <w:ind w:firstLine="425"/>
      </w:pPr>
      <w:r>
        <w:t xml:space="preserve">Обстоятельства замены и расчёт разницы приводят в пояснении к отчёту: Вместо кладочной смеси М150 использована смесь М200 в связи с отсутствием М150 у поставщика на момент заливки, расход на 1 м3 кладки увеличился на 8%.</w:t>
      </w:r>
    </w:p>
    <w:p>
      <w:pPr>
        <w:ind w:firstLine="425"/>
      </w:pPr>
      <w:r>
        <w:t xml:space="preserve">Экономически оправданная замена не отменяет обязанности объяснить разницу в количестве: сравнение идёт по фактически израсходованному материалу, а не по его стоимости, поэтому даже более дешёвый аналог, потраченный в увеличенном объёме, отражается как перерасход по количеству.</w:t>
      </w:r>
    </w:p>
    <w:p>
      <w:pPr>
        <w:pStyle w:val="ClauseHeading"/>
      </w:pPr>
      <w:r>
        <w:rPr>
          <w:b/>
        </w:rPr>
        <w:t xml:space="preserve">Причина перерасхода: потери при транспортировке или хранении</w:t>
      </w:r>
    </w:p>
    <w:p>
      <w:pPr>
        <w:ind w:firstLine="425"/>
      </w:pPr>
      <w:r>
        <w:t xml:space="preserve">Часть материала не дошла до объекта в пригодном для использования виде: потери произошли при разгрузке, перевалке или хранении на приобъектном складе — бой, россыпь сыпучих материалов, порча от влаги.</w:t>
      </w:r>
    </w:p>
    <w:p>
      <w:pPr>
        <w:ind w:firstLine="425"/>
      </w:pPr>
      <w:r>
        <w:t xml:space="preserve">Детали потерь и то, кем и когда они зафиксированы, приводят в пояснении к отчёту: Вместо кладочной смеси М150 использована смесь М200 в связи с отсутствием М150 у поставщика на момент заливки, расход на 1 м3 кладки увеличился на 8%.</w:t>
      </w:r>
    </w:p>
    <w:p>
      <w:pPr>
        <w:ind w:firstLine="425"/>
      </w:pPr>
      <w:r>
        <w:t xml:space="preserve">Потери в пределах норм естественной убыли, если такие нормы установлены для конкретного материала, списываются наравне с нормативным расходом; потери сверх этих норм требуют отдельного акта о порче или недостаче с указанием причины и, по возможности, виновного лица.</w:t>
      </w:r>
    </w:p>
    <w:p>
      <w:pPr>
        <w:pStyle w:val="ClauseHeading"/>
      </w:pPr>
      <w:r>
        <w:rPr>
          <w:b/>
        </w:rPr>
        <w:t xml:space="preserve">Причина перерасхода: брак или переделка работ</w:t>
      </w:r>
    </w:p>
    <w:p>
      <w:pPr>
        <w:ind w:firstLine="425"/>
      </w:pPr>
      <w:r>
        <w:t xml:space="preserve">Материал ушёл в брак на самом объекте: например, некачественно приготовленная смесь пришла в негодность до укладки, либо часть уложенного материала демонтирована из-за несоответствия проекту или требованиям качества (ст. 721 ГК РФ).</w:t>
      </w:r>
    </w:p>
    <w:p>
      <w:pPr>
        <w:ind w:firstLine="425"/>
      </w:pPr>
      <w:r>
        <w:t xml:space="preserve">Обстоятельства брака описывают в объяснительной записке, приложенной к отчёту (APP.OVERSPEND_NOTE): Вместо кладочной смеси М150 использована смесь М200 в связи с отсутствием М150 у поставщика на момент заливки, расход на 1 м3 кладки увеличился на 8%.</w:t>
      </w:r>
    </w:p>
    <w:p>
      <w:pPr>
        <w:ind w:firstLine="425"/>
      </w:pPr>
      <w:r>
        <w:t xml:space="preserve">Повторное выполнение работ из-за брака не освобождает от норм расхода на новый объём: списываются оба объёма материала — израсходованный на бракованный участок и на его переделку, а стоимость переделки по общему правилу не может перекладываться на заказчика (ст. 721 ГК РФ).</w:t>
      </w:r>
    </w:p>
    <w:p>
      <w:pPr>
        <w:pStyle w:val="ClauseHeading"/>
      </w:pPr>
      <w:r>
        <w:rPr>
          <w:b/>
        </w:rPr>
        <w:t xml:space="preserve">Причина перерасхода: иные обстоятельства</w:t>
      </w:r>
    </w:p>
    <w:p>
      <w:pPr>
        <w:ind w:firstLine="425"/>
      </w:pPr>
      <w:r>
        <w:t xml:space="preserve">Ни одна из типовых причин — замена материала, транспортные потери, брак — не описывает произошедшее точно; в этом случае обстоятельства формулируют развёрнуто в пояснении к отчёту, а не оставляют поле формальной отпиской вроде «производственная необходимость».</w:t>
      </w:r>
    </w:p>
    <w:p>
      <w:pPr>
        <w:ind w:firstLine="425"/>
      </w:pPr>
      <w:r>
        <w:t xml:space="preserve">Вместо кладочной смеси М150 использована смесь М200 в связи с отсутствием М150 у поставщика на момент заливки, расход на 1 м3 кладки увеличился на 8%.</w:t>
      </w:r>
    </w:p>
    <w:p>
      <w:pPr>
        <w:ind w:firstLine="425"/>
      </w:pPr>
      <w:r>
        <w:t xml:space="preserve">Утверждающий списание главный инженер участка Прохоров Сергей Николаевич вправе запросить дополнительные пояснения или подтверждающие документы, прежде чем принять перерасход к списанию по нестандартной причине.</w:t>
      </w:r>
    </w:p>
    <w:p>
      <w:pPr>
        <w:pStyle w:val="ClauseHeading"/>
      </w:pPr>
      <w:r>
        <w:rPr>
          <w:b/>
        </w:rPr>
        <w:t xml:space="preserve">Перерасход списывается за счёт организации</w:t>
      </w:r>
    </w:p>
    <w:p>
      <w:pPr>
        <w:ind w:firstLine="425"/>
      </w:pPr>
      <w:r>
        <w:t xml:space="preserve">производитель работ (прораб) Кузнецов Игорь Валерьевич и инженер производственно-технического отдела Волкова Анна Сергеевна не усматривают вины конкретного работника в перерасходе — причина носит объективный характер и подтверждена пояснением к отчёту.</w:t>
      </w:r>
    </w:p>
    <w:p>
      <w:pPr>
        <w:ind w:firstLine="425"/>
      </w:pPr>
      <w:r>
        <w:t xml:space="preserve">Перерасход в этом случае списывается на затраты по объекту сверх нормативной потребности, то есть увеличивает фактическую себестоимость выполненных работ, а не удерживается из заработной платы кого-либо.</w:t>
      </w:r>
    </w:p>
    <w:p>
      <w:pPr>
        <w:ind w:firstLine="425"/>
      </w:pPr>
      <w:r>
        <w:t xml:space="preserve">Решение утверждает главный инженер участка Прохоров Сергей Николаевич; утверждение оформляется подписью на самом отчёте, отдельного приказа для списания за счёт организации не требуется.</w:t>
      </w:r>
    </w:p>
    <w:p>
      <w:pPr>
        <w:pStyle w:val="ClauseHeading"/>
      </w:pPr>
      <w:r>
        <w:rPr>
          <w:b/>
        </w:rPr>
        <w:t xml:space="preserve">Кто подписывает отчёт</w:t>
      </w:r>
    </w:p>
    <w:p>
      <w:pPr>
        <w:ind w:firstLine="425"/>
      </w:pPr>
      <w:r>
        <w:t xml:space="preserve">Отчёт подписывают три лица с разными зонами ответственности. производитель работ (прораб) Кузнецов Игорь Валерьевич отвечает за то, что указанные объёмы работ выполнены фактически и в заявленных объёмах.</w:t>
      </w:r>
    </w:p>
    <w:p>
      <w:pPr>
        <w:ind w:firstLine="425"/>
      </w:pPr>
      <w:r>
        <w:t xml:space="preserve">инженер производственно-технического отдела Волкова Анна Сергеевна проверяет, что применены верные производственные нормы и расчёт нормативной потребности выполнен без ошибок, — это ключевая проверка перед тем, как разница между нормой и фактом попадёт в затраты.</w:t>
      </w:r>
    </w:p>
    <w:p>
      <w:pPr>
        <w:ind w:firstLine="425"/>
      </w:pPr>
      <w:r>
        <w:t xml:space="preserve">главный инженер участка Прохоров Сергей Николаевич утверждает отчёт целиком и тем самым даёт бухгалтерии основание провести списание материалов по этому объекту за отчётный период.</w:t>
      </w:r>
    </w:p>
    <w:p>
      <w:pPr>
        <w:pStyle w:val="ClauseHeading"/>
      </w:pPr>
      <w:r>
        <w:rPr>
          <w:b/>
        </w:rPr>
        <w:t xml:space="preserve">Отчёт как основание для бухгалтерских записей</w:t>
      </w:r>
    </w:p>
    <w:p>
      <w:pPr>
        <w:ind w:firstLine="425"/>
      </w:pPr>
      <w:r>
        <w:t xml:space="preserve">Утверждённый отчёт — первичный учётный документ, на основании которого материалы, использованные на объекте, списываются со счёта учёта материалов на счёт затрат по этому объекту строительства (ст. 9 402-ФЗ).</w:t>
      </w:r>
    </w:p>
    <w:p>
      <w:pPr>
        <w:ind w:firstLine="425"/>
      </w:pPr>
      <w:r>
        <w:t xml:space="preserve">Датой списания считается дата утверждения отчёта, а не дата его последующего внесения в учётную программу; если утверждение произошло позже фактического окончания работ, разумно отдельно зафиксировать дату окончания работ в самом отчёте, чтобы снять вопросы при проверке хронологии первичных документов.</w:t>
      </w:r>
    </w:p>
    <w:p>
      <w:pPr>
        <w:ind w:firstLine="425"/>
      </w:pPr>
      <w:r>
        <w:t xml:space="preserve">Без утверждённого отчёта или аналогичного документа списание материалов в затраты по строительному объекту документально не подтверждено, даже если материалы фактически потрачены, — при проверке это прямой риск снятия расходов.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Объяснительная записка о причине перерасхода материалов</w:t>
      </w:r>
    </w:p>
    <w:p>
      <w:pPr>
        <w:ind w:firstLine="425"/>
      </w:pPr>
      <w:r>
        <w:t xml:space="preserve">Составлена к отчёту № 3 за период с 01.08.2026 по 31.08.2026 по объекту Жилой дом со встроенными помещениями по ул. Садовая, 14 в связи с перерасходом материалов сверх производственной нормы.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41"/>
        <w:gridCol w:w="1641"/>
        <w:gridCol w:w="2256"/>
        <w:gridCol w:w="2051"/>
        <w:gridCol w:w="2051"/>
      </w:tblGrid>
      <w:tr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Материал</w:t>
            </w:r>
          </w:p>
        </w:tc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по расчёту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Фактический расход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Перерасход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Объяснение причины</w:t>
            </w:r>
          </w:p>
        </w:tc>
      </w:tr>
      <w:tr>
        <w:trPr>
          <w:trHeight w:val="397" w:hRule="atLeast"/>
        </w:trPr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Записку подписывает производитель работ (прораб) Кузнецов Игорь Валерьевич как лицо, непосредственно организующее работы на объекте, и визирует инженер производственно-технического отдела Волкова Анна Сергеевна. Утверждающий главный инженер участка Прохоров Сергей Николаевич принимает по итогам записки решение о списании перерасхода — за счёт организации или с отнесением на виновное лицо.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«Отчёт о расходе основных материалов в строительстве в сопоставлении с производственными нормами (форма М-29)» с сайта primadoc.ru. Документ, заполненный под вашу ситуацию, собирается в конструкторе: https://primadoc.ru/doc/otchet-o-rashode-osnovnyh-materialov-v-stroitelstve-v-sopostavlenii-s-proizvodstvennymi-normami-forma-m-29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Отчёт о расходе основных материалов в строительстве в сопоставлении с производственными нормами (форма М-29) — образец заполнения</dc:title>
  <dc:creator>Примадок</dc:creator>
  <dcterms:created xsi:type="dcterms:W3CDTF">2026-09-12T06:43:16Z</dcterms:created>
</cp:coreProperties>
</file>