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Объявление на взнос наличными (форма 0402001)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Объявление на взнос наличными</w:t>
      </w:r>
    </w:p>
    <w:p>
      <w:pPr>
        <w:ind w:firstLine="425"/>
      </w:pPr>
      <w:r>
        <w:t xml:space="preserve">ОБЪЯВЛЕНИЕ НА ВЗНОС НАЛИЧНЫМИ № ______ от ______. Форма 0402001.</w:t>
      </w:r>
    </w:p>
    <w:p>
      <w:pPr>
        <w:ind w:firstLine="425"/>
      </w:pPr>
      <w:r>
        <w:t xml:space="preserve">Банк: ______. БИК ______. Корреспондентский счёт ______.</w:t>
      </w:r>
    </w:p>
    <w:p>
      <w:pPr>
        <w:ind w:firstLine="425"/>
      </w:pPr>
      <w:r>
        <w:t xml:space="preserve">От кого: ______, ИНН ______, КПП ______.</w:t>
      </w:r>
    </w:p>
    <w:p>
      <w:pPr>
        <w:ind w:firstLine="425"/>
      </w:pPr>
      <w:r>
        <w:t xml:space="preserve">Для зачисления на счёт № ______.</w:t>
      </w:r>
    </w:p>
    <w:p>
      <w:pPr>
        <w:ind w:firstLine="425"/>
      </w:pPr>
      <w:r>
        <w:t xml:space="preserve">Сумма: ______.</w:t>
      </w:r>
    </w:p>
    <w:p>
      <w:pPr>
        <w:ind w:firstLine="425"/>
      </w:pPr>
      <w:r>
        <w:t xml:space="preserve">Источник взноса и назначение: ______.</w:t>
      </w:r>
    </w:p>
    <w:p>
      <w:pPr>
        <w:ind w:firstLine="425"/>
      </w:pPr>
      <w:r>
        <w:t xml:space="preserve">Вноситель: ______. Документ вносителя: ______.</w:t>
      </w:r>
    </w:p>
    <w:p>
      <w:pPr>
        <w:ind w:firstLine="425"/>
      </w:pPr>
      <w:r>
        <w:t xml:space="preserve">Бланк заполняют в трёх одинаковых частях: объявление остаётся в банке, квитанция выдаётся вносителю, ордер прикладывается к выписке по счёту.</w:t>
      </w:r>
    </w:p>
    <w:p>
      <w:pPr>
        <w:ind w:firstLine="425"/>
      </w:pPr>
      <w:r>
        <w:t xml:space="preserve">Сам бланк установлен Указанием Банка России от 30.07.2014 № 3352-У о формах документов, применяемых кредитными организациями при осуществлении кассовых операций: форма 0402001 приведена в приложении 1 к нему, обозначения полей — в приложении 2, описание реквизитов и порядок заполнения — в приложении 3.</w:t>
      </w:r>
    </w:p>
    <w:p>
      <w:pPr>
        <w:ind w:firstLine="425"/>
      </w:pPr>
      <w:r>
        <w:t xml:space="preserve">Порядок, в котором банк принимает наличные деньги по этому объявлению, пересчитывает их и зачисляет на счёт, установлен другим актом — Положением Банка России от 29.01.2018 № 630-П о порядке ведения кассовых операций в кредитных организациях. Бланка объявления это Положение не устанавливает.</w:t>
      </w:r>
    </w:p>
    <w:p>
      <w:pPr>
        <w:ind w:firstLine="425"/>
      </w:pPr>
      <w:r>
        <w:t xml:space="preserve">Исправления и подчистки в объявлении не допускаются: при ошибке бланк заполняют заново, а испорченный уничтожают. Сумму прописью пишут с заглавной буквы, без пробела в начале строки, копейки — цифрами.</w:t>
      </w:r>
    </w:p>
    <w:p>
      <w:pPr>
        <w:ind w:firstLine="425"/>
      </w:pPr>
      <w:r>
        <w:t xml:space="preserve">Расчёты наличными деньгами и в безналичном порядке ведутся по правилам, установленным законом и банковскими правилами; распоряжаться деньгами на счёте клиент может свободно, если закон не установил ограничений (ст. 845 ГК РФ).</w:t>
      </w:r>
    </w:p>
    <w:p>
      <w:pPr>
        <w:pStyle w:val="ClauseHeading"/>
      </w:pPr>
      <w:r>
        <w:rPr>
          <w:b/>
        </w:rPr>
        <w:t xml:space="preserve">Кто сдаёт деньги в банк</w:t>
      </w:r>
    </w:p>
    <w:p>
      <w:pPr>
        <w:ind w:firstLine="425"/>
      </w:pPr>
      <w:r>
        <w:t xml:space="preserve">Деньги сдаёт кассир или иной работник организации. Наличные выдают ему из кассы по расходному кассовому ордеру: ______. До возвращения работника с квитанцией сумма числится за ним как выданная под отчёт на сдачу в банк.Деньги сдаёт руководитель организации лично. Выдача наличных из кассы оформляется расходным кассовым ордером на его имя: ______. Отдельная доверенность руководителю не нужна — он действует без неё в силу устава.Деньги вносит индивидуальный предприниматель лично. Предприниматель вправе не вести кассовую книгу и не оформлять кассовые ордера, если ведёт учёт доходов или доходов и расходов и физических показателей. В этом случае квитанция банка — основной документ, подтверждающий движение наличных.Деньги сдаёт представитель по доверенности. Реквизиты доверенности вносят в объявление и предъявляют её работнику банка вместе с документом, удостоверяющим личность: ______.</w:t>
      </w:r>
    </w:p>
    <w:p>
      <w:pPr>
        <w:ind w:firstLine="425"/>
      </w:pPr>
      <w:r>
        <w:t xml:space="preserve">Банк удостоверяет право распоряжения средствами по документам, представленным клиентом, и вправе отказать в операции лицу, полномочия которого не подтверждены (ст. 847 ГК РФ).</w:t>
      </w:r>
    </w:p>
    <w:p>
      <w:pPr>
        <w:ind w:firstLine="425"/>
      </w:pPr>
      <w:r>
        <w:t xml:space="preserve">Выдачу наличных из кассы организации оформляют расходным кассовым ордером, а операции записывают в кассовую книгу в день их совершения — Указание Банка России от 11.03.2014 № 3210-У.</w:t>
      </w:r>
    </w:p>
    <w:p>
      <w:pPr>
        <w:ind w:firstLine="425"/>
      </w:pPr>
      <w:r>
        <w:t xml:space="preserve">Если деньги забирают инкассаторы, объявление не заполняют: применяется препроводительная ведомость к сумке — форма 0402300 из приложения 7 к тому же Указанию № 3352-У, а расписка инкассатора заменяет квитанцию до поступления средств на счёт.</w:t>
      </w:r>
    </w:p>
    <w:p>
      <w:pPr>
        <w:pStyle w:val="ClauseHeading"/>
      </w:pPr>
      <w:r>
        <w:rPr>
          <w:b/>
        </w:rPr>
        <w:t xml:space="preserve">Взнос торговой выручки</w:t>
      </w:r>
    </w:p>
    <w:p>
      <w:pPr>
        <w:ind w:firstLine="425"/>
      </w:pPr>
      <w:r>
        <w:t xml:space="preserve">Сдаётся выручка от розничной торговли, работ или услуг.</w:t>
      </w:r>
    </w:p>
    <w:p>
      <w:pPr>
        <w:ind w:firstLine="425"/>
      </w:pPr>
      <w:r>
        <w:t xml:space="preserve">Выручку сдают в сроки, определённые организацией самостоятельно, но так, чтобы остаток в кассе на конец дня не превышал установленный лимит.</w:t>
      </w:r>
    </w:p>
    <w:p>
      <w:pPr>
        <w:ind w:firstLine="425"/>
      </w:pPr>
      <w:r>
        <w:t xml:space="preserve">Расходовать наличную выручку разрешено только на цели, прямо перечисленные Банком России: заработную плату и социальные выплаты, оплату товаров, работ и услуг, выдачу под отчёт, возврат за оплаченные наличными и возвращённые товары, выплату страховых возмещений.</w:t>
      </w:r>
    </w:p>
    <w:p>
      <w:pPr>
        <w:ind w:firstLine="425"/>
      </w:pPr>
      <w:r>
        <w:t xml:space="preserve">На выдачу и возврат займов наличную выручку тратить нельзя: такие операции проводят только через расчётный счёт, предварительно сдав выручку в банк.</w:t>
      </w:r>
    </w:p>
    <w:p>
      <w:pPr>
        <w:ind w:firstLine="425"/>
      </w:pPr>
      <w:r>
        <w:t xml:space="preserve">В назначении пишут конкретный период: «торговая выручка за 09.09.2026» или «выручка за период с 07.09.2026 по 09.09.2026». Формулировка без периода вызывает у банка вопросы первой.</w:t>
      </w:r>
    </w:p>
    <w:p>
      <w:pPr>
        <w:pStyle w:val="ClauseHeading"/>
      </w:pPr>
      <w:r>
        <w:rPr>
          <w:b/>
        </w:rPr>
        <w:t xml:space="preserve">Возврат подотчётных сумм</w:t>
      </w:r>
    </w:p>
    <w:p>
      <w:pPr>
        <w:ind w:firstLine="425"/>
      </w:pPr>
      <w:r>
        <w:t xml:space="preserve">Сдаётся остаток неиспользованных подотчётных сумм.</w:t>
      </w:r>
    </w:p>
    <w:p>
      <w:pPr>
        <w:ind w:firstLine="425"/>
      </w:pPr>
      <w:r>
        <w:t xml:space="preserve">Работник возвращает остаток в кассу по приходному кассовому ордеру, а организация сдаёт эти деньги в банк отдельным объявлением.</w:t>
      </w:r>
    </w:p>
    <w:p>
      <w:pPr>
        <w:ind w:firstLine="425"/>
      </w:pPr>
      <w:r>
        <w:t xml:space="preserve">Срок возврата подотчётных сумм и срок сдачи авансового отчёта устанавливает руководитель распорядительным документом; для командировок обычно применяют три рабочих дня после возвращения.</w:t>
      </w:r>
    </w:p>
    <w:p>
      <w:pPr>
        <w:ind w:firstLine="425"/>
      </w:pPr>
      <w:r>
        <w:t xml:space="preserve">Не возвращённый вовремя остаток либо удерживают из заработной платы в установленном порядке, либо признают доходом работника с начислением налога на доходы физических лиц.</w:t>
      </w:r>
    </w:p>
    <w:p>
      <w:pPr>
        <w:ind w:firstLine="425"/>
      </w:pPr>
      <w:r>
        <w:t xml:space="preserve">В назначении указывают, по какому авансовому отчёту и за какой период возвращены деньги: обезличенный «возврат средств» банк почти всегда переспрашивает.</w:t>
      </w:r>
    </w:p>
    <w:p>
      <w:pPr>
        <w:pStyle w:val="ClauseHeading"/>
      </w:pPr>
      <w:r>
        <w:rPr>
          <w:b/>
        </w:rPr>
        <w:t xml:space="preserve">Взнос учредителя или участника</w:t>
      </w:r>
    </w:p>
    <w:p>
      <w:pPr>
        <w:ind w:firstLine="425"/>
      </w:pPr>
      <w:r>
        <w:t xml:space="preserve">Деньги вносит участник организации. Документ-основание: ______.</w:t>
      </w:r>
    </w:p>
    <w:p>
      <w:pPr>
        <w:ind w:firstLine="425"/>
      </w:pPr>
      <w:r>
        <w:t xml:space="preserve">Формулировка назначения должна однозначно называть основание: заём по договору, вклад в имущество общества, оплата доли в уставном капитале, безвозмездная помощь участника.</w:t>
      </w:r>
    </w:p>
    <w:p>
      <w:pPr>
        <w:ind w:firstLine="425"/>
      </w:pPr>
      <w:r>
        <w:t xml:space="preserve">Разница принципиальна для налогов: заём возвращается и доходом не признаётся, вклад в имущество при определённых условиях в доход не включается, а безвозмездная помощь чаще всего облагается.</w:t>
      </w:r>
    </w:p>
    <w:p>
      <w:pPr>
        <w:ind w:firstLine="425"/>
      </w:pPr>
      <w:r>
        <w:t xml:space="preserve">Договор займа между гражданином и организацией заключают в письменной форме, и деньги считаются переданными с момента их поступления заёмщику (ст. 807 ГК РФ).</w:t>
      </w:r>
    </w:p>
    <w:p>
      <w:pPr>
        <w:ind w:firstLine="425"/>
      </w:pPr>
      <w:r>
        <w:t xml:space="preserve">Вклад в имущество вносят по решению общего собрания участников, оформленному протоколом; ссылку на протокол указывают в назначении взноса.</w:t>
      </w:r>
    </w:p>
    <w:p>
      <w:pPr>
        <w:ind w:firstLine="425"/>
      </w:pPr>
      <w:r>
        <w:t xml:space="preserve">Не пишите «пополнение оборотных средств» без основания: у банка это одна из самых частых причин запроса документов в рамках контроля операций.</w:t>
      </w:r>
    </w:p>
    <w:p>
      <w:pPr>
        <w:pStyle w:val="ClauseHeading"/>
      </w:pPr>
      <w:r>
        <w:rPr>
          <w:b/>
        </w:rPr>
        <w:t xml:space="preserve">Личные средства предпринимателя</w:t>
      </w:r>
    </w:p>
    <w:p>
      <w:pPr>
        <w:ind w:firstLine="425"/>
      </w:pPr>
      <w:r>
        <w:t xml:space="preserve">Предприниматель вносит на счёт собственные средства.</w:t>
      </w:r>
    </w:p>
    <w:p>
      <w:pPr>
        <w:ind w:firstLine="425"/>
      </w:pPr>
      <w:r>
        <w:t xml:space="preserve">В назначении пишут прямо: «внесение собственных средств индивидуального предпринимателя» или «пополнение счёта личными средствами, НДС не облагается».</w:t>
      </w:r>
    </w:p>
    <w:p>
      <w:pPr>
        <w:ind w:firstLine="425"/>
      </w:pPr>
      <w:r>
        <w:t xml:space="preserve">Такие суммы доходом не признаются и в налоговую базу не включаются: это перемещение своих же денег, а не поступление от деятельности.</w:t>
      </w:r>
    </w:p>
    <w:p>
      <w:pPr>
        <w:ind w:firstLine="425"/>
      </w:pPr>
      <w:r>
        <w:t xml:space="preserve">Ошибка в формулировке дорого стоит: если ту же сумму назвать выручкой, она попадёт в облагаемый доход, и убирать её придётся уточнённой декларацией с пояснениями.</w:t>
      </w:r>
    </w:p>
    <w:p>
      <w:pPr>
        <w:ind w:firstLine="425"/>
      </w:pPr>
      <w:r>
        <w:t xml:space="preserve">Обратная операция — снятие предпринимателем денег со счёта на личные нужды — оформляется так же прямо и никакими отчётами не сопровождается: предприниматель распоряжается своими средствами свободно.</w:t>
      </w:r>
    </w:p>
    <w:p>
      <w:pPr>
        <w:pStyle w:val="ClauseHeading"/>
      </w:pPr>
      <w:r>
        <w:rPr>
          <w:b/>
        </w:rPr>
        <w:t xml:space="preserve">Возврат депонированной заработной платы</w:t>
      </w:r>
    </w:p>
    <w:p>
      <w:pPr>
        <w:ind w:firstLine="425"/>
      </w:pPr>
      <w:r>
        <w:t xml:space="preserve">Сдаётся сумма заработной платы, не полученная работниками в срок выплаты.</w:t>
      </w:r>
    </w:p>
    <w:p>
      <w:pPr>
        <w:ind w:firstLine="425"/>
      </w:pPr>
      <w:r>
        <w:t xml:space="preserve">В последний день выплаты кассир проставляет в платёжной ведомости напротив фамилий неполучивших отметку «депонировано», подсчитывает выданную и депонированную суммы и оформляет расходный кассовый ордер на фактически выданное.</w:t>
      </w:r>
    </w:p>
    <w:p>
      <w:pPr>
        <w:ind w:firstLine="425"/>
      </w:pPr>
      <w:r>
        <w:t xml:space="preserve">Депонированные суммы сдают в банк и выдают работникам позже по отдельному расходному ордеру или зачисляют на карту.</w:t>
      </w:r>
    </w:p>
    <w:p>
      <w:pPr>
        <w:ind w:firstLine="425"/>
      </w:pPr>
      <w:r>
        <w:t xml:space="preserve">Наличные деньги на выплату заработной платы разрешено хранить в кассе сверх лимита не более пяти рабочих дней, включая день получения денег в банке. Конкретный срок устанавливает руководитель.</w:t>
      </w:r>
    </w:p>
    <w:p>
      <w:pPr>
        <w:ind w:firstLine="425"/>
      </w:pPr>
      <w:r>
        <w:t xml:space="preserve">В назначении указывают период, за который депонирована зарплата, — по нему потом восстанавливают, кому и сколько причитается.</w:t>
      </w:r>
    </w:p>
    <w:p>
      <w:pPr>
        <w:pStyle w:val="ClauseHeading"/>
      </w:pPr>
      <w:r>
        <w:rPr>
          <w:b/>
        </w:rPr>
        <w:t xml:space="preserve">Иное поступление</w:t>
      </w:r>
    </w:p>
    <w:p>
      <w:pPr>
        <w:ind w:firstLine="425"/>
      </w:pPr>
      <w:r>
        <w:t xml:space="preserve">Сдаются наличные, не относящиеся к перечисленным типовым источникам.</w:t>
      </w:r>
    </w:p>
    <w:p>
      <w:pPr>
        <w:ind w:firstLine="425"/>
      </w:pPr>
      <w:r>
        <w:t xml:space="preserve">Существо поступления: ______.</w:t>
      </w:r>
    </w:p>
    <w:p>
      <w:pPr>
        <w:ind w:firstLine="425"/>
      </w:pPr>
      <w:r>
        <w:t xml:space="preserve">Формулировку в объявлении делайте предметной и совпадающей с документом-основанием: банк сверяет назначение именно с ним.</w:t>
      </w:r>
    </w:p>
    <w:p>
      <w:pPr>
        <w:ind w:firstLine="425"/>
      </w:pPr>
      <w:r>
        <w:t xml:space="preserve">К таким взносам чаще всего относятся возмещение ущерба работником, оплата от покупателя, поступившая наличными сверх кассы, возврат подотчётных сумм прошлых периодов, поступления от продажи имущества.</w:t>
      </w:r>
    </w:p>
    <w:p>
      <w:pPr>
        <w:ind w:firstLine="425"/>
      </w:pPr>
      <w:r>
        <w:t xml:space="preserve">Если по операции есть договор, акт или соглашение, укажите его номер и дату прямо в назначении: это снимает половину возможных вопросов.</w:t>
      </w:r>
    </w:p>
    <w:p>
      <w:pPr>
        <w:pStyle w:val="ClauseHeading"/>
      </w:pPr>
      <w:r>
        <w:rPr>
          <w:b/>
        </w:rPr>
        <w:t xml:space="preserve">Источники поступления и покупюрная опись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1701"/>
        <w:gridCol w:w="2552"/>
        <w:gridCol w:w="1417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поступления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Символ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Источники поступления наличных денег указывают на оборотной стороне объявления с символами по перечню, который применяет банк. Если сдаётся выручка из нескольких источников, каждый показывают отдельной строкой.</w:t>
      </w:r>
    </w:p>
    <w:p>
      <w:pPr>
        <w:ind w:firstLine="425"/>
      </w:pPr>
      <w:r>
        <w:t xml:space="preserve">Итого к взносу: ______ руб.</w:t>
      </w:r>
    </w:p>
    <w:p>
      <w:pPr>
        <w:ind w:firstLine="425"/>
      </w:pPr>
      <w:r>
        <w:t xml:space="preserve">В том числе монетой: ______ руб. Монету сдают упакованной по номиналам; банк вправе установить свои требования к упаковке и пересчёту.______Взнос сдаётся банкнотами.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45"/>
        <w:gridCol w:w="2921"/>
        <w:gridCol w:w="1461"/>
        <w:gridCol w:w="3213"/>
      </w:tblGrid>
      <w:tr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кассира банка</w:t>
            </w: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Покупюрную опись составляют до выхода из офиса: пересчитать деньги ещё раз у окна банка не всегда возможно, а расхождение, обнаруженное кассиром банка, оформляется актом и разбирается отдельно.</w:t>
      </w:r>
    </w:p>
    <w:p>
      <w:pPr>
        <w:ind w:firstLine="425"/>
      </w:pPr>
      <w:r>
        <w:t xml:space="preserve">Ветхие и повреждённые банкноты складывают отдельно: часть из них банк примет только на инкассо, и в сумму взноса они не войдут.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сдачи наличных в банк</w:t>
      </w:r>
    </w:p>
    <w:p>
      <w:pPr>
        <w:ind w:firstLine="425"/>
      </w:pPr>
      <w:r>
        <w:t xml:space="preserve">Внутренний реестр организации: ______, счёт № ______ в ______.</w:t>
      </w:r>
    </w:p>
    <w:p>
      <w:pPr>
        <w:ind w:firstLine="425"/>
      </w:pPr>
      <w:r>
        <w:t xml:space="preserve">Реестр ведут в бухгалтерии, чтобы видеть все взносы за период одним списком и быстро находить квитанции при сверке с выпиской.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46"/>
        <w:gridCol w:w="2051"/>
        <w:gridCol w:w="1025"/>
        <w:gridCol w:w="1641"/>
        <w:gridCol w:w="1231"/>
        <w:gridCol w:w="1846"/>
      </w:tblGrid>
      <w:tr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объявления</w:t>
            </w:r>
          </w:p>
        </w:tc>
        <w:tc>
          <w:tcPr>
            <w:tcW w:w="5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сдавал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Квитанция получена</w:t>
            </w: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Графу «Квитанция получена» заполняют в момент возвращения работника из банка. Пустая графа — сигнал, что деньги выданы из кассы, а подтверждения сдачи нет.</w:t>
      </w:r>
    </w:p>
    <w:p>
      <w:pPr>
        <w:ind w:firstLine="425"/>
      </w:pPr>
      <w:r>
        <w:t xml:space="preserve">Раз в месяц реестр сверяют с выпиской по счёту и с кассовой книгой: три источника должны сойтись по датам и суммам.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«Объявление на взнос наличными (форма 0402001)» с сайта primadoc.ru. Документ, заполненный под вашу ситуацию, собирается в конструкторе: https://primadoc.ru/doc/obyavlenie-na-vznos-nalichnymi-forma-0402001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Объявление на взнос наличными (форма 0402001) — пустой бланк</dc:title>
  <dc:creator>Примадок</dc:creator>
  <dcterms:created xsi:type="dcterms:W3CDTF">2026-09-12T08:02:54Z</dcterms:created>
</cp:coreProperties>
</file>