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УТВЕРЖДАЮ</w:t>
      </w:r>
    </w:p>
    <w:p>
      <w:pPr>
        <w:jc w:val="left"/>
      </w:pPr>
      <w:r>
        <w:t xml:space="preserve">______ ______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Приказ № ______ от ______</w:t>
      </w:r>
    </w:p>
    <w:p>
      <w:pPr>
        <w:pStyle w:val="DocTitle"/>
      </w:pPr>
      <w:r>
        <w:t xml:space="preserve">Номенклатура дел организации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Сведения о номенклатуре</w:t>
      </w:r>
    </w:p>
    <w:p>
      <w:pPr>
        <w:ind w:firstLine="425"/>
      </w:pPr>
      <w:r>
        <w:t xml:space="preserve">______ ______, ИНН ______, на ______ год.</w:t>
      </w:r>
    </w:p>
    <w:p>
      <w:pPr>
        <w:ind w:firstLine="425"/>
      </w:pPr>
      <w:r>
        <w:t xml:space="preserve">Номенклатура введена в действие с 1 января ______ года и действует до конца этого года включительно.</w:t>
      </w:r>
    </w:p>
    <w:p>
      <w:pPr>
        <w:ind w:firstLine="425"/>
      </w:pPr>
      <w:r>
        <w:t xml:space="preserve">Ответственный за ведение номенклатуры и формирование дел — ______ ______.</w:t>
      </w:r>
    </w:p>
    <w:p>
      <w:pPr>
        <w:ind w:firstLine="425"/>
      </w:pPr>
      <w:r>
        <w:t xml:space="preserve">Место хранения дел: ______.</w:t>
      </w:r>
    </w:p>
    <w:p>
      <w:pPr>
        <w:ind w:firstLine="425"/>
      </w:pPr>
      <w:r>
        <w:t xml:space="preserve">Заголовки дел расположены по разделам, индекс дела состоит из индекса подразделения и порядкового номера дела внутри раздела.</w:t>
      </w:r>
    </w:p>
    <w:p>
      <w:pPr>
        <w:ind w:firstLine="425"/>
      </w:pPr>
      <w:r>
        <w:t xml:space="preserve">Обязанность обеспечивать сохранность документов и соблюдать сроки хранения установлена законом об архивном деле (ст. 17 125-ФЗ).</w:t>
      </w:r>
    </w:p>
    <w:p>
      <w:pPr>
        <w:pStyle w:val="ClauseHeading"/>
      </w:pPr>
      <w:r>
        <w:rPr>
          <w:b/>
        </w:rPr>
        <w:t xml:space="preserve">Реквизиты подразделения</w:t>
      </w:r>
    </w:p>
    <w:p>
      <w:pPr>
        <w:ind w:firstLine="425"/>
      </w:pPr>
      <w:r>
        <w:t xml:space="preserve">Подразделение: ______, индекс ______.</w:t>
      </w:r>
    </w:p>
    <w:p>
      <w:pPr>
        <w:ind w:firstLine="425"/>
      </w:pPr>
      <w:r>
        <w:t xml:space="preserve">Номенклатура дел подразделения подписывается его руководителем и передаётся в службу делопроизводства для включения в сводную номенклатуру организации.</w:t>
      </w:r>
    </w:p>
    <w:p>
      <w:pPr>
        <w:ind w:firstLine="425"/>
      </w:pPr>
      <w:r>
        <w:t xml:space="preserve">Самостоятельным документом она не является: сроки хранения и окончательные индексы дел устанавливаются в сводной номенклатуре.</w:t>
      </w:r>
    </w:p>
    <w:p>
      <w:pPr>
        <w:pStyle w:val="ClauseHeading"/>
      </w:pPr>
      <w:r>
        <w:rPr>
          <w:b/>
        </w:rPr>
        <w:t xml:space="preserve">Особенности для индивидуального предпринимателя</w:t>
      </w:r>
    </w:p>
    <w:p>
      <w:pPr>
        <w:ind w:firstLine="425"/>
      </w:pPr>
      <w:r>
        <w:t xml:space="preserve">Индивидуальный предприниматель ведёт номенклатуру в упрощённом виде: разделов по подразделениям нет, дела нумеруются сквозной нумерацией от 01.</w:t>
      </w:r>
    </w:p>
    <w:p>
      <w:pPr>
        <w:ind w:firstLine="425"/>
      </w:pPr>
      <w:r>
        <w:t xml:space="preserve">Обязанность обеспечивать сохранность архивных документов, включая документы по личному составу, распространяется и на предпринимателей без образования юридического лица.</w:t>
      </w:r>
    </w:p>
    <w:p>
      <w:pPr>
        <w:ind w:firstLine="425"/>
      </w:pPr>
      <w:r>
        <w:t xml:space="preserve">Экспертная комиссия у предпринимателя обычно не создаётся, решение о составе дел и сроках хранения он принимает сам и фиксирует своей подписью на номенклатуре.</w:t>
      </w:r>
    </w:p>
    <w:p>
      <w:pPr>
        <w:pStyle w:val="ClauseHeading"/>
      </w:pPr>
      <w:r>
        <w:rPr>
          <w:b/>
        </w:rPr>
        <w:t xml:space="preserve">Особенности номенклатуры при ликвидации</w:t>
      </w:r>
    </w:p>
    <w:p>
      <w:pPr>
        <w:ind w:firstLine="425"/>
      </w:pPr>
      <w:r>
        <w:t xml:space="preserve">При ликвидации номенклатура составляется на неполный год — до даты внесения записи о прекращении деятельности.</w:t>
      </w:r>
    </w:p>
    <w:p>
      <w:pPr>
        <w:ind w:firstLine="425"/>
      </w:pPr>
      <w:r>
        <w:t xml:space="preserve">Её задача другая: не организовать текущее делопроизводство, а свести все дела, подлежащие передаче на хранение, и отделить их от подлежащих уничтожению.</w:t>
      </w:r>
    </w:p>
    <w:p>
      <w:pPr>
        <w:ind w:firstLine="425"/>
      </w:pPr>
      <w:r>
        <w:t xml:space="preserve">Документы по личному составу передаются в государственный или муниципальный архив либо иному определённому законом хранителю (ст. 22.1 125-ФЗ). Уничтожить их вместе с остальными нельзя.</w:t>
      </w:r>
    </w:p>
    <w:p>
      <w:pPr>
        <w:ind w:firstLine="425"/>
      </w:pPr>
      <w:r>
        <w:t xml:space="preserve">Ликвидационная комиссия завершает номенклатуру итоговой записью и на её основе составляет описи дел и акт о выделении к уничтожению.</w:t>
      </w:r>
    </w:p>
    <w:p>
      <w:pPr>
        <w:pStyle w:val="ClauseHeading"/>
      </w:pPr>
      <w:r>
        <w:rPr>
          <w:b/>
        </w:rPr>
        <w:t xml:space="preserve">Разграфка номенклатуры дел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90"/>
        <w:gridCol w:w="2076"/>
        <w:gridCol w:w="2224"/>
        <w:gridCol w:w="2966"/>
        <w:gridCol w:w="1483"/>
      </w:tblGrid>
      <w:tr>
        <w:tc>
          <w:tcPr>
            <w:tcW w:w="4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Индекс дела</w:t>
            </w:r>
          </w:p>
        </w:tc>
        <w:tc>
          <w:tcPr>
            <w:tcW w:w="10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Заголовок дела (тома, части)</w:t>
            </w:r>
          </w:p>
        </w:tc>
        <w:tc>
          <w:tcPr>
            <w:tcW w:w="11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дел (томов, частей)</w:t>
            </w:r>
          </w:p>
        </w:tc>
        <w:tc>
          <w:tcPr>
            <w:tcW w:w="15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хранения и номер статьи по перечню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Дела, внесённые в номенклатуру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76"/>
        <w:gridCol w:w="8763"/>
      </w:tblGrid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Индекс дела|case_title=Заголовок дела|case_count=Кол-во томов|case_term=Срок хранения|case_note=Примечание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Раздел 01. Руководство и организационные вопросы</w:t>
      </w:r>
    </w:p>
    <w:p>
      <w:pPr>
        <w:ind w:firstLine="425"/>
      </w:pPr>
      <w:r>
        <w:t xml:space="preserve">Заготовка раздела. Индексы и количество томов проставьте по факту, номера статей — по действующей редакции Перечня типовых управленческих архивных документов.</w:t>
      </w:r>
    </w:p>
    <w:p>
      <w:pPr>
        <w:ind w:firstLine="425"/>
      </w:pPr>
      <w:r>
        <w:t xml:space="preserve">01-01. Устав организации, изменения к нему — хранить постоянно.</w:t>
      </w:r>
    </w:p>
    <w:p>
      <w:pPr>
        <w:ind w:firstLine="425"/>
      </w:pPr>
      <w:r>
        <w:t xml:space="preserve">01-02. Свидетельства и выписки о государственной регистрации, документы о постановке на налоговый учёт — хранить постоянно.</w:t>
      </w:r>
    </w:p>
    <w:p>
      <w:pPr>
        <w:ind w:firstLine="425"/>
      </w:pPr>
      <w:r>
        <w:t xml:space="preserve">01-03. Приказы, распоряжения по основной деятельности — хранить постоянно.</w:t>
      </w:r>
    </w:p>
    <w:p>
      <w:pPr>
        <w:ind w:firstLine="425"/>
      </w:pPr>
      <w:r>
        <w:t xml:space="preserve">01-04. Протоколы общих собраний участников и заседаний коллегиальных органов — хранить постоянно.</w:t>
      </w:r>
    </w:p>
    <w:p>
      <w:pPr>
        <w:ind w:firstLine="425"/>
      </w:pPr>
      <w:r>
        <w:t xml:space="preserve">01-05. Положения о структурных подразделениях — хранить постоянно.</w:t>
      </w:r>
    </w:p>
    <w:p>
      <w:pPr>
        <w:ind w:firstLine="425"/>
      </w:pPr>
      <w:r>
        <w:t xml:space="preserve">01-06. Штатные расписания и изменения к ним — хранить постоянно.</w:t>
      </w:r>
    </w:p>
    <w:p>
      <w:pPr>
        <w:ind w:firstLine="425"/>
      </w:pPr>
      <w:r>
        <w:t xml:space="preserve">01-07. Номенклатура дел организации — хранить постоянно, номенклатура дел подразделения — 3 года после замены новой.</w:t>
      </w:r>
    </w:p>
    <w:p>
      <w:pPr>
        <w:ind w:firstLine="425"/>
      </w:pPr>
      <w:r>
        <w:t xml:space="preserve">01-08. Журналы регистрации входящих и исходящих документов — хранить 5 лет.</w:t>
      </w:r>
    </w:p>
    <w:p>
      <w:pPr>
        <w:ind w:firstLine="425"/>
      </w:pPr>
      <w:r>
        <w:t xml:space="preserve">01-09. Переписка по основной деятельности — хранить 5 лет.</w:t>
      </w:r>
    </w:p>
    <w:p>
      <w:pPr>
        <w:ind w:firstLine="425"/>
      </w:pPr>
      <w:r>
        <w:t xml:space="preserve">01-10. Доверенности организации и журнал их учёта — хранить 5 лет после истечения срока действия.</w:t>
      </w:r>
    </w:p>
    <w:p>
      <w:pPr>
        <w:ind w:firstLine="425"/>
      </w:pPr>
      <w:r>
        <w:t xml:space="preserve">01-11. Описи дел, акты о выделении документов к уничтожению, протоколы экспертной комиссии — хранить постоянно.</w:t>
      </w:r>
    </w:p>
    <w:p>
      <w:pPr>
        <w:pStyle w:val="ClauseHeading"/>
      </w:pPr>
      <w:r>
        <w:rPr>
          <w:b/>
        </w:rPr>
        <w:t xml:space="preserve">Раздел 04. Кадры и личный состав</w:t>
      </w:r>
    </w:p>
    <w:p>
      <w:pPr>
        <w:ind w:firstLine="425"/>
      </w:pPr>
      <w:r>
        <w:t xml:space="preserve">Это самый ответственный раздел: по нему потом подтверждают стаж и заработок. Отметка «50/75 лет» означает 50 лет для дел, законченных делопроизводством после 1 января 2003 года, и 75 лет для более ранних (ст. 22.1 125-ФЗ).</w:t>
      </w:r>
    </w:p>
    <w:p>
      <w:pPr>
        <w:ind w:firstLine="425"/>
      </w:pPr>
      <w:r>
        <w:t xml:space="preserve">04-01. Трудовые договоры, дополнительные соглашения к ним — хранить 50/75 лет.</w:t>
      </w:r>
    </w:p>
    <w:p>
      <w:pPr>
        <w:ind w:firstLine="425"/>
      </w:pPr>
      <w:r>
        <w:t xml:space="preserve">04-02. Приказы по личному составу о приёме, переводе, совмещении, увольнении, поощрении — хранить 50/75 лет.</w:t>
      </w:r>
    </w:p>
    <w:p>
      <w:pPr>
        <w:ind w:firstLine="425"/>
      </w:pPr>
      <w:r>
        <w:t xml:space="preserve">04-03. Приказы о предоставлении ежегодных и учебных отпусков, о командировках внутри страны, о дисциплинарных взысканиях — хранить 5 лет.</w:t>
      </w:r>
    </w:p>
    <w:p>
      <w:pPr>
        <w:ind w:firstLine="425"/>
      </w:pPr>
      <w:r>
        <w:t xml:space="preserve">04-04. Личные дела и личные карточки работников — хранить 50/75 лет.</w:t>
      </w:r>
    </w:p>
    <w:p>
      <w:pPr>
        <w:ind w:firstLine="425"/>
      </w:pPr>
      <w:r>
        <w:t xml:space="preserve">04-05. Личные дела и карточки руководителя организации — хранить постоянно.</w:t>
      </w:r>
    </w:p>
    <w:p>
      <w:pPr>
        <w:ind w:firstLine="425"/>
      </w:pPr>
      <w:r>
        <w:t xml:space="preserve">04-06. Табели учёта рабочего времени — хранить 5 лет, а при работе во вредных или опасных условиях труда — 50/75 лет.</w:t>
      </w:r>
    </w:p>
    <w:p>
      <w:pPr>
        <w:ind w:firstLine="425"/>
      </w:pPr>
      <w:r>
        <w:t xml:space="preserve">04-07. График отпусков — хранить 3 года.</w:t>
      </w:r>
    </w:p>
    <w:p>
      <w:pPr>
        <w:ind w:firstLine="425"/>
      </w:pPr>
      <w:r>
        <w:t xml:space="preserve">04-08. Заявления работников, не вошедшие в личные дела — хранить 5 лет.</w:t>
      </w:r>
    </w:p>
    <w:p>
      <w:pPr>
        <w:ind w:firstLine="425"/>
      </w:pPr>
      <w:r>
        <w:t xml:space="preserve">04-09. Книга учёта движения трудовых книжек и вкладышей — хранить 50/75 лет.</w:t>
      </w:r>
    </w:p>
    <w:p>
      <w:pPr>
        <w:ind w:firstLine="425"/>
      </w:pPr>
      <w:r>
        <w:t xml:space="preserve">04-10. Документы воинского учёта работников — хранить 5 лет.</w:t>
      </w:r>
    </w:p>
    <w:p>
      <w:pPr>
        <w:ind w:firstLine="425"/>
      </w:pPr>
      <w:r>
        <w:t xml:space="preserve">04-11. Правила внутреннего трудового распорядка — хранить 1 год после замены новыми.</w:t>
      </w:r>
    </w:p>
    <w:p>
      <w:pPr>
        <w:ind w:firstLine="425"/>
      </w:pPr>
      <w:r>
        <w:t xml:space="preserve">04-12. Документы о выплате заработной платы, если лицевые счета не ведутся — хранить 50/75 лет.</w:t>
      </w:r>
    </w:p>
    <w:p>
      <w:pPr>
        <w:pStyle w:val="ClauseHeading"/>
      </w:pPr>
      <w:r>
        <w:rPr>
          <w:b/>
        </w:rPr>
        <w:t xml:space="preserve">Раздел 05. Бухгалтерия и налоги</w:t>
      </w:r>
    </w:p>
    <w:p>
      <w:pPr>
        <w:ind w:firstLine="425"/>
      </w:pPr>
      <w:r>
        <w:t xml:space="preserve">Пятилетний срок для первичных документов отсчитывается не от даты документа, а от конца отчётного года, в котором он использовался в последний раз (ст. 29 402-ФЗ).</w:t>
      </w:r>
    </w:p>
    <w:p>
      <w:pPr>
        <w:ind w:firstLine="425"/>
      </w:pPr>
      <w:r>
        <w:t xml:space="preserve">05-01. Годовая бухгалтерская (финансовая) отчётность и аудиторские заключения к ней — хранить постоянно.</w:t>
      </w:r>
    </w:p>
    <w:p>
      <w:pPr>
        <w:ind w:firstLine="425"/>
      </w:pPr>
      <w:r>
        <w:t xml:space="preserve">05-02. Промежуточная бухгалтерская отчётность — хранить 5 лет.</w:t>
      </w:r>
    </w:p>
    <w:p>
      <w:pPr>
        <w:ind w:firstLine="425"/>
      </w:pPr>
      <w:r>
        <w:t xml:space="preserve">05-03. Учётная политика и приложения к ней — хранить 5 лет после года последнего применения.</w:t>
      </w:r>
    </w:p>
    <w:p>
      <w:pPr>
        <w:ind w:firstLine="425"/>
      </w:pPr>
      <w:r>
        <w:t xml:space="preserve">05-04. Первичные учётные документы: накладные, акты, авансовые отчёты, кассовые документы — хранить 5 лет.</w:t>
      </w:r>
    </w:p>
    <w:p>
      <w:pPr>
        <w:ind w:firstLine="425"/>
      </w:pPr>
      <w:r>
        <w:t xml:space="preserve">05-05. Регистры бухгалтерского учёта, оборотно-сальдовые ведомости, главная книга — хранить 5 лет.</w:t>
      </w:r>
    </w:p>
    <w:p>
      <w:pPr>
        <w:ind w:firstLine="425"/>
      </w:pPr>
      <w:r>
        <w:t xml:space="preserve">05-06. Налоговые декларации и расчёты, документы, подтверждающие исчисление налогов — хранить 5 лет.</w:t>
      </w:r>
    </w:p>
    <w:p>
      <w:pPr>
        <w:ind w:firstLine="425"/>
      </w:pPr>
      <w:r>
        <w:t xml:space="preserve">05-07. Счета-фактуры и книги покупок и продаж — хранить 5 лет.</w:t>
      </w:r>
    </w:p>
    <w:p>
      <w:pPr>
        <w:ind w:firstLine="425"/>
      </w:pPr>
      <w:r>
        <w:t xml:space="preserve">05-08. Лицевые счета работников по заработной плате — хранить 50/75 лет.</w:t>
      </w:r>
    </w:p>
    <w:p>
      <w:pPr>
        <w:ind w:firstLine="425"/>
      </w:pPr>
      <w:r>
        <w:t xml:space="preserve">05-09. Документы об инвентаризации активов и обязательств — хранить 5 лет.</w:t>
      </w:r>
    </w:p>
    <w:p>
      <w:pPr>
        <w:ind w:firstLine="425"/>
      </w:pPr>
      <w:r>
        <w:t xml:space="preserve">05-10. Документы о дебиторской и кредиторской задолженности, о списании долгов — хранить 5 лет после погашения или списания.</w:t>
      </w:r>
    </w:p>
    <w:p>
      <w:pPr>
        <w:pStyle w:val="ClauseHeading"/>
      </w:pPr>
      <w:r>
        <w:rPr>
          <w:b/>
        </w:rPr>
        <w:t xml:space="preserve">Раздел 06. Охрана труда и безопасность</w:t>
      </w:r>
    </w:p>
    <w:p>
      <w:pPr>
        <w:ind w:firstLine="425"/>
      </w:pPr>
      <w:r>
        <w:t xml:space="preserve">Документы о несчастных случаях и вредных условиях хранятся десятилетиями: по ним назначают досрочную пенсию и возмещают вред здоровью.</w:t>
      </w:r>
    </w:p>
    <w:p>
      <w:pPr>
        <w:ind w:firstLine="425"/>
      </w:pPr>
      <w:r>
        <w:t xml:space="preserve">06-01. Положение о системе управления охраной труда, приказы по охране труда — хранить 50 лет.</w:t>
      </w:r>
    </w:p>
    <w:p>
      <w:pPr>
        <w:ind w:firstLine="425"/>
      </w:pPr>
      <w:r>
        <w:t xml:space="preserve">06-02. Инструкции по охране труда — хранить 50 лет после замены новыми.</w:t>
      </w:r>
    </w:p>
    <w:p>
      <w:pPr>
        <w:ind w:firstLine="425"/>
      </w:pPr>
      <w:r>
        <w:t xml:space="preserve">06-03. Журналы регистрации вводного инструктажа и инструктажа на рабочем месте — хранить 45 лет.</w:t>
      </w:r>
    </w:p>
    <w:p>
      <w:pPr>
        <w:ind w:firstLine="425"/>
      </w:pPr>
      <w:r>
        <w:t xml:space="preserve">06-04. Материалы расследования несчастных случаев на производстве, акты по форме Н-1 — хранить 45 лет.</w:t>
      </w:r>
    </w:p>
    <w:p>
      <w:pPr>
        <w:ind w:firstLine="425"/>
      </w:pPr>
      <w:r>
        <w:t xml:space="preserve">06-05. Документы специальной оценки условий труда, карты СОУТ — хранить 45 лет, а при вредных и опасных условиях — 50/75 лет.</w:t>
      </w:r>
    </w:p>
    <w:p>
      <w:pPr>
        <w:ind w:firstLine="425"/>
      </w:pPr>
      <w:r>
        <w:t xml:space="preserve">06-06. Личные карточки учёта выдачи средств индивидуальной защиты — хранить 3 года после увольнения работника.</w:t>
      </w:r>
    </w:p>
    <w:p>
      <w:pPr>
        <w:ind w:firstLine="425"/>
      </w:pPr>
      <w:r>
        <w:t xml:space="preserve">06-07. Документы о проведении обязательных медицинских осмотров, заключительные акты — хранить 5 лет.</w:t>
      </w:r>
    </w:p>
    <w:p>
      <w:pPr>
        <w:ind w:firstLine="425"/>
      </w:pPr>
      <w:r>
        <w:t xml:space="preserve">06-08. Документы по пожарной безопасности: приказы, журналы, декларация — хранить 3 года, декларацию — постоянно.</w:t>
      </w:r>
    </w:p>
    <w:p>
      <w:pPr>
        <w:pStyle w:val="ClauseHeading"/>
      </w:pPr>
      <w:r>
        <w:rPr>
          <w:b/>
        </w:rPr>
        <w:t xml:space="preserve">Раздел 07. Договорная и претензионная работа</w:t>
      </w:r>
    </w:p>
    <w:p>
      <w:pPr>
        <w:ind w:firstLine="425"/>
      </w:pPr>
      <w:r>
        <w:t xml:space="preserve">Срок хранения договора считают не от даты подписания, а от истечения срока действия или от исполнения последнего обязательства по нему.</w:t>
      </w:r>
    </w:p>
    <w:p>
      <w:pPr>
        <w:ind w:firstLine="425"/>
      </w:pPr>
      <w:r>
        <w:t xml:space="preserve">07-01. Договоры поставки, подряда, оказания услуг с приложениями и дополнительными соглашениями — хранить 5 лет после истечения срока действия.</w:t>
      </w:r>
    </w:p>
    <w:p>
      <w:pPr>
        <w:ind w:firstLine="425"/>
      </w:pPr>
      <w:r>
        <w:t xml:space="preserve">07-02. Договоры аренды недвижимого имущества — хранить 10 лет после истечения срока действия.</w:t>
      </w:r>
    </w:p>
    <w:p>
      <w:pPr>
        <w:ind w:firstLine="425"/>
      </w:pPr>
      <w:r>
        <w:t xml:space="preserve">07-03. Договоры о полной материальной ответственности — хранить 5 лет после увольнения работника.</w:t>
      </w:r>
    </w:p>
    <w:p>
      <w:pPr>
        <w:ind w:firstLine="425"/>
      </w:pPr>
      <w:r>
        <w:t xml:space="preserve">07-04. Претензии, ответы на них, переписка по спорам — хранить 5 лет.</w:t>
      </w:r>
    </w:p>
    <w:p>
      <w:pPr>
        <w:ind w:firstLine="425"/>
      </w:pPr>
      <w:r>
        <w:t xml:space="preserve">07-05. Судебные документы: иски, отзывы, решения, исполнительные листы — хранить 5 лет после вступления решения в силу.</w:t>
      </w:r>
    </w:p>
    <w:p>
      <w:pPr>
        <w:ind w:firstLine="425"/>
      </w:pPr>
      <w:r>
        <w:t xml:space="preserve">07-06. Реестр договоров и журнал их регистрации — хранить 5 лет.</w:t>
      </w:r>
    </w:p>
    <w:p>
      <w:pPr>
        <w:ind w:firstLine="425"/>
      </w:pPr>
      <w:r>
        <w:t xml:space="preserve">07-07. Документы о согласовании крупных сделок и сделок с заинтересованностью — хранить постоянно.</w:t>
      </w:r>
    </w:p>
    <w:p>
      <w:pPr>
        <w:pStyle w:val="ClauseHeading"/>
      </w:pPr>
      <w:r>
        <w:rPr>
          <w:b/>
        </w:rPr>
        <w:t xml:space="preserve">Итоговая запись о категориях и количестве дел</w:t>
      </w:r>
    </w:p>
    <w:p>
      <w:pPr>
        <w:ind w:firstLine="425"/>
      </w:pPr>
      <w:r>
        <w:t xml:space="preserve">Итоговая запись составляется по окончании ______ года и подписывается ответственным за делопроизводство.</w:t>
      </w:r>
    </w:p>
    <w:p>
      <w:pPr>
        <w:ind w:firstLine="425"/>
      </w:pPr>
      <w:r>
        <w:t xml:space="preserve">Сведения из итоговой записи передаются в архив организации, а в организациях — источниках комплектования также сообщаются в архивное учреждение.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886"/>
        <w:gridCol w:w="1886"/>
        <w:gridCol w:w="4191"/>
        <w:gridCol w:w="1676"/>
      </w:tblGrid>
      <w:tr>
        <w:tc>
          <w:tcPr>
            <w:tcW w:w="9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 срокам хранения</w:t>
            </w:r>
          </w:p>
        </w:tc>
        <w:tc>
          <w:tcPr>
            <w:tcW w:w="9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Всего заведено дел</w:t>
            </w:r>
          </w:p>
        </w:tc>
        <w:tc>
          <w:tcPr>
            <w:tcW w:w="217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 том числе переходящих на следующий год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 отметкой ЭК</w:t>
            </w:r>
          </w:p>
        </w:tc>
      </w:tr>
      <w:tr>
        <w:trPr>
          <w:trHeight w:val="397" w:hRule="atLeast"/>
        </w:trPr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Постоянного хранения — ______. Временного хранения свыше 10 лет — ______. Временного хранения до 10 лет включительно — ______. По личному составу — ______. Из них переходящих — ______.</w:t>
      </w:r>
    </w:p>
    <w:p>
      <w:pPr>
        <w:pStyle w:val="ClauseHeading"/>
      </w:pPr>
      <w:r>
        <w:rPr>
          <w:b/>
        </w:rPr>
        <w:t xml:space="preserve">Подписи и согласование</w:t>
      </w:r>
    </w:p>
    <w:p>
      <w:pPr>
        <w:ind w:firstLine="425"/>
      </w:pPr>
      <w:r>
        <w:t xml:space="preserve">Составил: ______ ______, дата ______.</w:t>
      </w:r>
    </w:p>
    <w:p>
      <w:pPr>
        <w:ind w:firstLine="425"/>
      </w:pPr>
      <w:r>
        <w:t xml:space="preserve">Одобрено экспертной комиссией организации, протокол № ______ от ______.</w:t>
      </w:r>
    </w:p>
    <w:p>
      <w:pPr>
        <w:pStyle w:val="ClauseHeading"/>
      </w:pPr>
      <w:r>
        <w:rPr>
          <w:b/>
        </w:rPr>
        <w:t xml:space="preserve">Согласование с архивным учреждением</w:t>
      </w:r>
    </w:p>
    <w:p>
      <w:pPr>
        <w:ind w:firstLine="425"/>
      </w:pPr>
      <w:r>
        <w:t xml:space="preserve">Согласовано экспертно-проверочной комиссией: ______, протокол № ______ от ______.</w:t>
      </w:r>
    </w:p>
    <w:p>
      <w:pPr>
        <w:ind w:firstLine="425"/>
      </w:pPr>
      <w:r>
        <w:t xml:space="preserve">Организации — источники комплектования государственных и муниципальных архивов согласовывают номенклатуру с ЭПК не реже одного раза в пять лет, а также при каждом изменении структуры или функций.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Форма номенклатуры дел структурного подразделения</w:t>
      </w:r>
    </w:p>
    <w:p>
      <w:pPr>
        <w:ind w:firstLine="425"/>
      </w:pPr>
      <w:r>
        <w:t xml:space="preserve">Подразделение: ____________________ Индекс: ______ На ______ год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071"/>
        <w:gridCol w:w="2499"/>
        <w:gridCol w:w="1785"/>
        <w:gridCol w:w="2499"/>
        <w:gridCol w:w="1785"/>
      </w:tblGrid>
      <w:t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Индекс дела</w:t>
            </w:r>
          </w:p>
        </w:tc>
        <w:tc>
          <w:tcPr>
            <w:tcW w:w="12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Заголовок дела (тома, части)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дел</w:t>
            </w:r>
          </w:p>
        </w:tc>
        <w:tc>
          <w:tcPr>
            <w:tcW w:w="12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хранения и номер статьи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Наименование должности руководителя подразделения, подпись, расшифровка, дата.</w:t>
      </w:r>
    </w:p>
    <w:p>
      <w:pPr>
        <w:ind w:firstLine="425"/>
      </w:pPr>
      <w:r>
        <w:t xml:space="preserve">Лист передаётся в службу делопроизводства не позднее ноября текущего года. Из таких листов собирается сводная номенклатура организации.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учёта передачи дел в архив организации</w:t>
      </w:r>
    </w:p>
    <w:p>
      <w:pPr>
        <w:ind w:firstLine="425"/>
      </w:pPr>
      <w:r>
        <w:t xml:space="preserve">Дела временного хранения свыше 10 лет и постоянного хранения передаются в архив организации, как правило, через год после окончания делопроизводством.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015"/>
        <w:gridCol w:w="1522"/>
        <w:gridCol w:w="676"/>
        <w:gridCol w:w="1691"/>
        <w:gridCol w:w="1522"/>
        <w:gridCol w:w="1522"/>
        <w:gridCol w:w="676"/>
        <w:gridCol w:w="1015"/>
      </w:tblGrid>
      <w:tr>
        <w:tc>
          <w:tcPr>
            <w:tcW w:w="5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Индекс дела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Заголовок дела</w:t>
            </w:r>
          </w:p>
        </w:tc>
        <w:tc>
          <w:tcPr>
            <w:tcW w:w="3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Годы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листов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хранения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передачи</w:t>
            </w:r>
          </w:p>
        </w:tc>
        <w:tc>
          <w:tcPr>
            <w:tcW w:w="3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сдал</w:t>
            </w:r>
          </w:p>
        </w:tc>
        <w:tc>
          <w:tcPr>
            <w:tcW w:w="5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принял</w:t>
            </w:r>
          </w:p>
        </w:tc>
      </w:tr>
      <w:tr>
        <w:trPr>
          <w:trHeight w:val="397" w:hRule="atLeast"/>
        </w:trPr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Дела до 10 лет включительно в архив обычно не передаются: они хранятся в подразделении и по истечении срока уничтожаются по акту.</w:t>
      </w:r>
    </w:p>
    <w:p>
      <w:pPr>
        <w:ind w:firstLine="425"/>
      </w:pPr>
      <w:r>
        <w:t xml:space="preserve">Приём-передача оформляется подписями обеих сторон. Расхождения фиксируются в этом же листе до подписания.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Лист-заверитель дела</w:t>
      </w:r>
    </w:p>
    <w:p>
      <w:pPr>
        <w:ind w:firstLine="425"/>
      </w:pPr>
      <w:r>
        <w:t xml:space="preserve">В деле подшито и пронумеровано ______ листов, в том числе литерных ______, пропущенных номеров ______.</w:t>
      </w:r>
    </w:p>
    <w:p>
      <w:pPr>
        <w:ind w:firstLine="425"/>
      </w:pPr>
      <w:r>
        <w:t xml:space="preserve">Особенности состояния и формирования дела: повреждённые листы, листы с наклейками, конверты с вложениями, документы с самостоятельной нумерацией — указать при наличии.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044"/>
        <w:gridCol w:w="2283"/>
        <w:gridCol w:w="2029"/>
        <w:gridCol w:w="2283"/>
      </w:tblGrid>
      <w:tr>
        <w:tc>
          <w:tcPr>
            <w:tcW w:w="15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1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</w:t>
            </w:r>
          </w:p>
        </w:tc>
        <w:tc>
          <w:tcPr>
            <w:tcW w:w="10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11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</w:tr>
      <w:tr>
        <w:trPr>
          <w:trHeight w:val="397" w:hRule="atLeast"/>
        </w:trPr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Лист-заверитель подшивается в конце дела. Без него дело постоянного хранения архив не примет.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«Номенклатура дел организации» с сайта primadoc.ru. Документ, заполненный под вашу ситуацию, собирается в конструкторе: https://primadoc.ru/doc/nomenklatura-del-organizacii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18"/>
        <w:szCs w:val="18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18"/>
    </w:rPr>
  </w:style>
  <w:style w:type="paragraph" w:styleId="ClauseHeading">
    <w:name w:val="Clause Heading"/>
    <w:pPr>
      <w:jc w:val="left"/>
      <w:spacing w:before="120" w:after="40"/>
    </w:pPr>
    <w:rPr>
      <w:b/>
      <w:sz w:val="18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Номенклатура дел организации — пустой бланк</dc:title>
  <dc:creator>Примадок</dc:creator>
  <dcterms:created xsi:type="dcterms:W3CDTF">2026-09-11T12:14:42Z</dcterms:created>
</cp:coreProperties>
</file>