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КАРТОЧКА УЧЁТА МАТЕРИАЛОВ № 148 за 2027 год</w:t>
      </w:r>
    </w:p>
    <w:p>
      <w:pPr>
        <w:jc w:val="left"/>
      </w:pPr>
      <w:r>
        <w:t xml:space="preserve">Типовая межотраслевая форма № М-17, код по ОКУД 0315008.</w:t>
      </w:r>
    </w:p>
    <w:p>
      <w:pPr>
        <w:jc w:val="left"/>
      </w:pPr>
      <w:r>
        <w:t xml:space="preserve">Организация: ООО «Гранит-Трейд», ИНН 7604125478</w:t>
      </w:r>
    </w:p>
    <w:p>
      <w:pPr>
        <w:jc w:val="left"/>
      </w:pPr>
      <w:r>
        <w:t xml:space="preserve">Склад (место хранения): склад № 1, стеллаж Б-4, ячейка 12</w:t>
      </w:r>
    </w:p>
    <w:p>
      <w:pPr>
        <w:jc w:val="left"/>
      </w:pPr>
      <w:r>
        <w:t xml:space="preserve">Материально ответственное лицо: кладовщик Зайцева Вера Николаевна, договор о полной материальной ответственности № 12 от 09.01.2027</w:t>
      </w:r>
    </w:p>
    <w:p>
      <w:pPr>
        <w:jc w:val="left"/>
      </w:pPr>
      <w:r>
        <w:t xml:space="preserve">Номенклатурный номер: 08-1145</w:t>
      </w:r>
    </w:p>
    <w:p>
      <w:pPr>
        <w:jc w:val="left"/>
      </w:pPr>
      <w:r>
        <w:t xml:space="preserve">Наименование материала: Кабель ВВГнг-LS 3х2,5</w:t>
      </w:r>
    </w:p>
    <w:p>
      <w:pPr>
        <w:jc w:val="left"/>
      </w:pPr>
      <w:r>
        <w:t xml:space="preserve">Марка, сорт, профиль, размер: ГОСТ 31996-2012, барабан 200 м</w:t>
      </w:r>
    </w:p>
    <w:p>
      <w:pPr>
        <w:jc w:val="left"/>
      </w:pPr>
      <w:r>
        <w:t xml:space="preserve">Единица измерения: м. Учётная цена: 78,40</w:t>
      </w:r>
    </w:p>
    <w:p>
      <w:pPr>
        <w:jc w:val="left"/>
      </w:pPr>
      <w:r>
        <w:t xml:space="preserve">Счёт учёта: 10.01. Норма запаса: 400 м</w:t>
      </w:r>
    </w:p>
    <w:p>
      <w:pPr>
        <w:pStyle w:val="DocTitle"/>
      </w:pPr>
      <w:r>
        <w:t xml:space="preserve">Карточка учёта материалов (форма М-17)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Зачем нужна карточка и на каком основании ведётся</w:t>
      </w:r>
    </w:p>
    <w:p>
      <w:pPr>
        <w:ind w:firstLine="425"/>
      </w:pPr>
      <w:r>
        <w:t xml:space="preserve">1.1. Форма № М-17 утверждена постановлением Госкомстата России от 30.10.1997 № 71а в составе типовых межотраслевых форм по учёту материалов.</w:t>
      </w:r>
    </w:p>
    <w:p>
      <w:pPr>
        <w:ind w:firstLine="425"/>
      </w:pPr>
      <w:r>
        <w:t xml:space="preserve">1.2. Применение унифицированных форм сегодня обязательным не является: организация утверждает формы первичных документов и регистров сама, соблюдая требования к обязательным реквизитам (ст. 9 402-ФЗ).</w:t>
      </w:r>
    </w:p>
    <w:p>
      <w:pPr>
        <w:ind w:firstLine="425"/>
      </w:pPr>
      <w:r>
        <w:t xml:space="preserve">1.3. Карточка учёта материалов — это регистр складского учёта (ст. 10 402-ФЗ), и форма М-17 остаётся удобной основой, потому что содержит ровно то, что нужно для вывода остатка.</w:t>
      </w:r>
    </w:p>
    <w:p>
      <w:pPr>
        <w:ind w:firstLine="425"/>
      </w:pPr>
      <w:r>
        <w:t xml:space="preserve">1.4. Карточка открывается на каждый номенклатурный номер: смешивать в одной карточке разные марки, сорта или размеры нельзя, иначе остаток теряет смысл.</w:t>
      </w:r>
    </w:p>
    <w:p>
      <w:pPr>
        <w:ind w:firstLine="425"/>
      </w:pPr>
      <w:r>
        <w:t xml:space="preserve">1.5. Карточки заводит бухгалтерия и передаёт на склад под расписку в реестре карточек.</w:t>
      </w:r>
    </w:p>
    <w:p>
      <w:pPr>
        <w:ind w:firstLine="425"/>
      </w:pPr>
      <w:r>
        <w:t xml:space="preserve">1.6. Это защищает от появления «своих» карточек, заведённых кладовщиком задним числом.</w:t>
      </w:r>
    </w:p>
    <w:p>
      <w:pPr>
        <w:ind w:firstLine="425"/>
      </w:pPr>
      <w:r>
        <w:t xml:space="preserve">1.7. Порядок ведения складского учёта, круг материально ответственных лиц и периодичность сверки закрепляются в учётной политике или в приказе по организации (ст. 8 402-ФЗ).</w:t>
      </w:r>
    </w:p>
    <w:p>
      <w:pPr>
        <w:pStyle w:val="ClauseHeading"/>
      </w:pPr>
      <w:r>
        <w:rPr>
          <w:b/>
        </w:rPr>
        <w:t xml:space="preserve">2. Записи о движении материала</w:t>
      </w:r>
    </w:p>
    <w:p>
      <w:pPr>
        <w:ind w:firstLine="425"/>
      </w:pPr>
      <w:r>
        <w:t xml:space="preserve">2.1. Запись делается в день операции на основании первичного документа.</w:t>
      </w:r>
    </w:p>
    <w:p>
      <w:pPr>
        <w:ind w:firstLine="425"/>
      </w:pPr>
      <w:r>
        <w:t xml:space="preserve">2.2. Задним числом карточка не заполняется.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25"/>
        <w:gridCol w:w="1418"/>
        <w:gridCol w:w="1559"/>
        <w:gridCol w:w="2410"/>
        <w:gridCol w:w="851"/>
        <w:gridCol w:w="851"/>
        <w:gridCol w:w="992"/>
        <w:gridCol w:w="1134"/>
      </w:tblGrid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8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 кого получено или кому отпущено</w:t>
            </w:r>
          </w:p>
        </w:tc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Приход</w:t>
            </w:r>
          </w:p>
        </w:tc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Расход</w:t>
            </w:r>
          </w:p>
        </w:tc>
        <w:tc>
          <w:tcPr>
            <w:tcW w:w="5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Остаток</w:t>
            </w:r>
          </w:p>
        </w:tc>
        <w:tc>
          <w:tcPr>
            <w:tcW w:w="5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  <w:r>
              <w:t xml:space="preserve">14.04.2027</w:t>
            </w: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  <w:r>
              <w:t xml:space="preserve">приходный ордер № 214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  <w:r>
              <w:t xml:space="preserve">ООО «ЭлектроСнаб», договор № 41</w:t>
            </w: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  <w:r>
              <w:t xml:space="preserve">600</w:t>
            </w: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  <w:r>
              <w:t xml:space="preserve">960</w:t>
            </w: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  <w:r>
              <w:t xml:space="preserve">Зайцева</w:t>
            </w:r>
          </w:p>
        </w:tc>
      </w:tr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2.3. Основанием для записи о приходе служат приходный ордер, товарная накладная или универсальный передаточный документ, а также акт о приёмке материалов при расхождении с документами поставщика.</w:t>
      </w:r>
    </w:p>
    <w:p>
      <w:pPr>
        <w:ind w:firstLine="425"/>
      </w:pPr>
      <w:r>
        <w:t xml:space="preserve">2.4. Основанием для записи о расходе служат требование-накладная при отпуске внутри организации, накладная на отпуск материалов на сторону, лимитно-заборная карта при систематическом отпуске в производство.</w:t>
      </w:r>
    </w:p>
    <w:p>
      <w:pPr>
        <w:ind w:firstLine="425"/>
      </w:pPr>
      <w:r>
        <w:t xml:space="preserve">2.5. Остаток выводится в каждой строке.</w:t>
      </w:r>
    </w:p>
    <w:p>
      <w:pPr>
        <w:ind w:firstLine="425"/>
      </w:pPr>
      <w:r>
        <w:t xml:space="preserve">2.6. Карточка без остатков — это не регистр, а список событий: по ней нельзя ни проверить наличие, ни доказать недостачу.</w:t>
      </w:r>
    </w:p>
    <w:p>
      <w:pPr>
        <w:pStyle w:val="ClauseHeading"/>
      </w:pPr>
      <w:r>
        <w:rPr>
          <w:b/>
        </w:rPr>
        <w:t xml:space="preserve">3. Норма запаса и сигнальная функция карточки</w:t>
      </w:r>
    </w:p>
    <w:p>
      <w:pPr>
        <w:ind w:firstLine="425"/>
      </w:pPr>
      <w:r>
        <w:t xml:space="preserve">3.1. Норма запаса по данной позиции: 400 м.</w:t>
      </w:r>
    </w:p>
    <w:p>
      <w:pPr>
        <w:ind w:firstLine="425"/>
      </w:pPr>
      <w:r>
        <w:t xml:space="preserve">3.2. При снижении остатка до нормы кладовщик сообщает об этом в снабжение служебной запиской или отметкой в карточке.</w:t>
      </w:r>
    </w:p>
    <w:p>
      <w:pPr>
        <w:ind w:firstLine="425"/>
      </w:pPr>
      <w:r>
        <w:t xml:space="preserve">3.3. Так карточка перестаёт быть архивом и начинает предупреждать о дефиците.</w:t>
      </w:r>
    </w:p>
    <w:p>
      <w:pPr>
        <w:ind w:firstLine="425"/>
      </w:pPr>
      <w:r>
        <w:t xml:space="preserve">3.4. Норма пересматривается по фактическому расходу за период.</w:t>
      </w:r>
    </w:p>
    <w:p>
      <w:pPr>
        <w:ind w:firstLine="425"/>
      </w:pPr>
      <w:r>
        <w:t xml:space="preserve">3.5. Данные для пересчёта берутся из этой же карточки: суммарный расход за квартал, делённый на число рабочих недель, даёт среднюю потребность, а срок поставки показывает, за сколько дней до нуля надо заказывать.</w:t>
      </w:r>
    </w:p>
    <w:p>
      <w:pPr>
        <w:ind w:firstLine="425"/>
      </w:pPr>
      <w:r>
        <w:t xml:space="preserve">3.6. Материалы, движения по которым нет более года, выделяются отдельно: обычно это неликвиды, которые занимают место и завышают стоимость запасов.</w:t>
      </w:r>
    </w:p>
    <w:p>
      <w:pPr>
        <w:ind w:firstLine="425"/>
      </w:pPr>
      <w:r>
        <w:t xml:space="preserve">3.7. Решение по ним принимается инвентаризационной комиссией.</w:t>
      </w:r>
    </w:p>
    <w:p>
      <w:pPr>
        <w:pStyle w:val="ClauseHeading"/>
      </w:pPr>
      <w:r>
        <w:rPr>
          <w:b/>
        </w:rPr>
        <w:t xml:space="preserve">4. Бумажная картотека на складе</w:t>
      </w:r>
    </w:p>
    <w:p>
      <w:pPr>
        <w:ind w:firstLine="425"/>
      </w:pPr>
      <w:r>
        <w:t xml:space="preserve">4.1. Карточки хранятся в картотеке по номенклатурным номерам, а внутри — по группам материалов.</w:t>
      </w:r>
    </w:p>
    <w:p>
      <w:pPr>
        <w:ind w:firstLine="425"/>
      </w:pPr>
      <w:r>
        <w:t xml:space="preserve">4.2. Записи ведутся чернилами без подчисток.</w:t>
      </w:r>
    </w:p>
    <w:p>
      <w:pPr>
        <w:ind w:firstLine="425"/>
      </w:pPr>
      <w:r>
        <w:t xml:space="preserve">4.3. Ошибочная запись зачёркивается одной чертой, рядом делается верная с датой исправления и подписью кладовщика, а при существенном исправлении — и подписью проверяющего от бухгалтерии.</w:t>
      </w:r>
    </w:p>
    <w:p>
      <w:pPr>
        <w:ind w:firstLine="425"/>
      </w:pPr>
      <w:r>
        <w:t xml:space="preserve">4.4. Карточка не выдаётся со склада на руки.</w:t>
      </w:r>
    </w:p>
    <w:p>
      <w:pPr>
        <w:ind w:firstLine="425"/>
      </w:pPr>
      <w:r>
        <w:t xml:space="preserve">4.5. Для передачи данных в бухгалтерию составляется реестр сдачи документов или ведомость остатков.</w:t>
      </w:r>
    </w:p>
    <w:p>
      <w:pPr>
        <w:ind w:firstLine="425"/>
      </w:pPr>
      <w:r>
        <w:t xml:space="preserve">4.6. При заполнении карточки до конца открывается следующая с тем же номенклатурным номером и переносом остатка, а заполненная подшивается в дело.</w:t>
      </w:r>
    </w:p>
    <w:p>
      <w:pPr>
        <w:pStyle w:val="ClauseHeading"/>
      </w:pPr>
      <w:r>
        <w:rPr>
          <w:b/>
        </w:rPr>
        <w:t xml:space="preserve">5. Электронный складской учёт</w:t>
      </w:r>
    </w:p>
    <w:p>
      <w:pPr>
        <w:ind w:firstLine="425"/>
      </w:pPr>
      <w:r>
        <w:t xml:space="preserve">5.1. Карточка ведётся в учётной программе, а бумажная распечатка формируется за период по требованию бухгалтерии, при инвентаризации и при смене материально ответственного лица.</w:t>
      </w:r>
    </w:p>
    <w:p>
      <w:pPr>
        <w:ind w:firstLine="425"/>
      </w:pPr>
      <w:r>
        <w:t xml:space="preserve">5.2. Каждая запись должна иметь ссылку на первичный документ и не изменяться задним числом.</w:t>
      </w:r>
    </w:p>
    <w:p>
      <w:pPr>
        <w:ind w:firstLine="425"/>
      </w:pPr>
      <w:r>
        <w:t xml:space="preserve">5.3. Исправление проводится отдельной записью (ст. 10 402-ФЗ).</w:t>
      </w:r>
    </w:p>
    <w:p>
      <w:pPr>
        <w:ind w:firstLine="425"/>
      </w:pPr>
      <w:r>
        <w:t xml:space="preserve">5.4. Права доступа разграничиваются: кладовщик вносит движение, но не меняет учётные цены и не удаляет записи.</w:t>
      </w:r>
    </w:p>
    <w:p>
      <w:pPr>
        <w:ind w:firstLine="425"/>
      </w:pPr>
      <w:r>
        <w:t xml:space="preserve">5.5. Сканирование штрихкодов ускоряет ввод, но не отменяет первичный документ: отсканированная строка без приходного ордера или требования-накладной остаётся ничем не подтверждённой.</w:t>
      </w:r>
    </w:p>
    <w:p>
      <w:pPr>
        <w:pStyle w:val="ClauseHeading"/>
      </w:pPr>
      <w:r>
        <w:rPr>
          <w:b/>
        </w:rPr>
        <w:t xml:space="preserve">6. Учёт по партиям и срокам годности</w:t>
      </w:r>
    </w:p>
    <w:p>
      <w:pPr>
        <w:ind w:firstLine="425"/>
      </w:pPr>
      <w:r>
        <w:t xml:space="preserve">6.1. Движение ведётся с разбивкой по партиям: в графе документа указывается номер партии, а остаток выводится по каждой партии отдельно.</w:t>
      </w:r>
    </w:p>
    <w:p>
      <w:pPr>
        <w:ind w:firstLine="425"/>
      </w:pPr>
      <w:r>
        <w:t xml:space="preserve">6.2. Отпуск производится по правилу «раньше поступило — раньше отпущено», если иное не установлено технологией.</w:t>
      </w:r>
    </w:p>
    <w:p>
      <w:pPr>
        <w:ind w:firstLine="425"/>
      </w:pPr>
      <w:r>
        <w:t xml:space="preserve">6.3. Для материалов с ограниченным сроком годности это не рекомендация, а способ не получить неликвид.</w:t>
      </w:r>
    </w:p>
    <w:p>
      <w:pPr>
        <w:ind w:firstLine="425"/>
      </w:pPr>
      <w:r>
        <w:t xml:space="preserve">6.4. Партии с истекающим сроком выделяются отметкой в карточке заранее, а не в день истечения: обычно нужен запас времени, чтобы использовать материал или вернуть его поставщику.</w:t>
      </w:r>
    </w:p>
    <w:p>
      <w:pPr>
        <w:ind w:firstLine="425"/>
      </w:pPr>
      <w:r>
        <w:t xml:space="preserve">6.5. Материал с истёкшим сроком годности обособляется, маркируется и в производство не передаётся до решения комиссии.</w:t>
      </w:r>
    </w:p>
    <w:p>
      <w:pPr>
        <w:ind w:firstLine="425"/>
      </w:pPr>
      <w:r>
        <w:t xml:space="preserve">6.6. Списание оформляется актом с указанием причины.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1. Бланк карточки для заполнения от руки</w:t>
      </w:r>
    </w:p>
    <w:p>
      <w:pPr>
        <w:ind w:firstLine="425"/>
      </w:pPr>
      <w:r>
        <w:t xml:space="preserve">Бланк рассчитан на ведение карточки на складе.</w:t>
      </w:r>
    </w:p>
    <w:p>
      <w:pPr>
        <w:ind w:firstLine="425"/>
      </w:pPr>
      <w:r>
        <w:t xml:space="preserve">Номенклатурный номер: ______________ Наименование: ______________________________ Ед. изм.: __________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422"/>
        <w:gridCol w:w="1264"/>
        <w:gridCol w:w="2686"/>
        <w:gridCol w:w="948"/>
        <w:gridCol w:w="948"/>
        <w:gridCol w:w="1106"/>
        <w:gridCol w:w="1264"/>
      </w:tblGrid>
      <w:tr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6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13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 кого получено или кому отпущено</w:t>
            </w:r>
          </w:p>
        </w:tc>
        <w:tc>
          <w:tcPr>
            <w:tcW w:w="4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Приход</w:t>
            </w:r>
          </w:p>
        </w:tc>
        <w:tc>
          <w:tcPr>
            <w:tcW w:w="4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Расход</w:t>
            </w:r>
          </w:p>
        </w:tc>
        <w:tc>
          <w:tcPr>
            <w:tcW w:w="57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Остаток</w:t>
            </w:r>
          </w:p>
        </w:tc>
        <w:tc>
          <w:tcPr>
            <w:tcW w:w="6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Остаток на конец периода: ____________ м</w:t>
      </w:r>
    </w:p>
    <w:p>
      <w:pPr>
        <w:ind w:firstLine="425"/>
      </w:pPr>
      <w:r>
        <w:t xml:space="preserve">Материально ответственное лицо: _______________ / 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2. Ведомость сверки данных склада и бухгалтерии</w:t>
      </w:r>
    </w:p>
    <w:p>
      <w:pPr>
        <w:ind w:firstLine="425"/>
      </w:pPr>
      <w:r>
        <w:t xml:space="preserve">Ведомость заполняется при периодической сверке. Расхождения разбираются в день сверки, пока причину ещё можно установить.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753"/>
        <w:gridCol w:w="1753"/>
        <w:gridCol w:w="1252"/>
        <w:gridCol w:w="1878"/>
        <w:gridCol w:w="1377"/>
        <w:gridCol w:w="1627"/>
      </w:tblGrid>
      <w:tr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Номенклатурный номер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6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Остаток по карточке</w:t>
            </w:r>
          </w:p>
        </w:tc>
        <w:tc>
          <w:tcPr>
            <w:tcW w:w="97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Остаток по данным бухгалтерии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Расхождение</w:t>
            </w:r>
          </w:p>
        </w:tc>
        <w:tc>
          <w:tcPr>
            <w:tcW w:w="84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Причина и принятое решение</w:t>
            </w: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Сверку провели: кладовщик _______________ / Зайцева Вера Николаевна /</w:t>
      </w:r>
    </w:p>
    <w:p>
      <w:pPr>
        <w:ind w:firstLine="425"/>
      </w:pPr>
      <w:r>
        <w:t xml:space="preserve">Бухгалтер _______________ / Литвинова Ольга Сергеевна /</w:t>
      </w:r>
    </w:p>
    <w:p>
      <w:pPr>
        <w:ind w:firstLine="425"/>
      </w:pPr>
      <w:r>
        <w:t xml:space="preserve">Дата сверки: ______________________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«Карточка учёта материалов (форма М-17)» с сайта primadoc.ru. Документ, заполненный под вашу ситуацию, собирается в конструкторе: https://primadoc.ru/doc/kartochka-ucheta-materialov-forma-m-17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0"/>
        <w:szCs w:val="20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0"/>
    </w:rPr>
  </w:style>
  <w:style w:type="paragraph" w:styleId="ClauseHeading">
    <w:name w:val="Clause Heading"/>
    <w:pPr>
      <w:jc w:val="left"/>
      <w:spacing w:before="120" w:after="40"/>
    </w:pPr>
    <w:rPr>
      <w:b/>
      <w:sz w:val="20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Карточка учёта материалов (форма М-17) — образец заполнения</dc:title>
  <dc:creator>Примадок</dc:creator>
  <dcterms:created xsi:type="dcterms:W3CDTF">2026-09-12T08:04:42Z</dcterms:created>
</cp:coreProperties>
</file>