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Карточка с образцами подписей и оттиска печати для банка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Клиент и счёт</w:t>
      </w:r>
    </w:p>
    <w:p>
      <w:pPr>
        <w:ind w:firstLine="425"/>
      </w:pPr>
      <w:r>
        <w:t xml:space="preserve">КАРТОЧКА С ОБРАЗЦАМИ ПОДПИСЕЙ И ОТТИСКА ПЕЧАТИ. Дата оформления: ______.</w:t>
      </w:r>
    </w:p>
    <w:p>
      <w:pPr>
        <w:ind w:firstLine="425"/>
      </w:pPr>
      <w:r>
        <w:t xml:space="preserve">Клиент: ______. Сокращённое наименование: ______.</w:t>
      </w:r>
    </w:p>
    <w:p>
      <w:pPr>
        <w:ind w:firstLine="425"/>
      </w:pPr>
      <w:r>
        <w:t xml:space="preserve">ИНН ______, КПП ______, ОГРН ______.</w:t>
      </w:r>
    </w:p>
    <w:p>
      <w:pPr>
        <w:ind w:firstLine="425"/>
      </w:pPr>
      <w:r>
        <w:t xml:space="preserve">Адрес: ______. Телефон: ______.</w:t>
      </w:r>
    </w:p>
    <w:p>
      <w:pPr>
        <w:ind w:firstLine="425"/>
      </w:pPr>
      <w:r>
        <w:t xml:space="preserve">Банк: ______, БИК ______. Счёт № ______.</w:t>
      </w:r>
    </w:p>
    <w:p>
      <w:pPr>
        <w:ind w:firstLine="425"/>
      </w:pPr>
      <w:r>
        <w:t xml:space="preserve">Счёт открывается филиалу или представительству. Головная организация: ______. Руководитель обособленного подразделения действует по доверенности, выданной юридическим лицом, и объём его полномочий по распоряжению счётом определяется этой доверенностью и положением о подразделении (ст. 55 ГК РФ).Счёт открывается индивидуальному предпринимателю. Предприниматель вправе указать в карточке только себя либо добавить лиц, которым выдал доверенность на распоряжение счётом.Счёт открывается некоммерческой организации. Полномочия единоличного исполнительного органа подтверждают уставом и протоколом или решением уполномоченного органа управления.Счёт открывается юридическому лицу. Полномочия руководителя подтверждают уставом, решением о назначении и сведениями из единого государственного реестра юридических лиц (ст. 53 ГК РФ).</w:t>
      </w:r>
    </w:p>
    <w:p>
      <w:pPr>
        <w:ind w:firstLine="425"/>
      </w:pPr>
      <w:r>
        <w:t xml:space="preserve">Единой обязательной формы карточки сейчас не существует. Инструкция Банка России от 30.06.2021 № 204-И, действующая с 1 апреля 2022 года, бланка карточки не устанавливает: по её главе 5 форма или формы карточки, используемые банком, определяются банковскими правилами.</w:t>
      </w:r>
    </w:p>
    <w:p>
      <w:pPr>
        <w:ind w:firstLine="425"/>
      </w:pPr>
      <w:r>
        <w:t xml:space="preserve">Унифицированная карточка с кодом формы по ОКУД 0401026 была приложением 1 к Инструкции Банка России от 30.05.2014 № 153-И, и эта Инструкция утратила силу с 1 октября 2022 года.</w:t>
      </w:r>
    </w:p>
    <w:p>
      <w:pPr>
        <w:ind w:firstLine="425"/>
      </w:pPr>
      <w:r>
        <w:t xml:space="preserve">Обозначение «форма 0401026» осталось в обиходе по прежнему коду ОКУД, а состав реквизитов в банковских бланках близок к прежнему образцу. Но бланк берут в своём банке: скачанная из интернета старая унифицированная карточка к оформлению не принимается, если она не совпадает с формой, утверждённой банковскими правилами.</w:t>
      </w:r>
    </w:p>
    <w:p>
      <w:pPr>
        <w:ind w:firstLine="425"/>
      </w:pPr>
      <w:r>
        <w:t xml:space="preserve">Банк обязан заключить договор банковского счёта с клиентом, обратившимся с предложением открыть счёт на объявленных условиях, если иное не установлено законом (ст. 846 ГК РФ).</w:t>
      </w:r>
    </w:p>
    <w:p>
      <w:pPr>
        <w:pStyle w:val="ClauseHeading"/>
      </w:pPr>
      <w:r>
        <w:rPr>
          <w:b/>
        </w:rPr>
        <w:t xml:space="preserve">Основание оформления карточки</w:t>
      </w:r>
    </w:p>
    <w:p>
      <w:pPr>
        <w:ind w:firstLine="425"/>
      </w:pPr>
      <w:r>
        <w:t xml:space="preserve">Карточка оформляется при открытии нового счёта. До её представления и удостоверения банк не принимает распоряжения на бумажном носителе.Карточка переоформляется в связи со сменой руководителя организации. Основание: ______. Прежняя карточка: ______. Это первое, что нужно сделать после назначения нового директора: до замены карточки он не может подписать ни одного бумажного распоряжения, а прежний руководитель формально сохраняет доступ к счёту.Карточка переоформляется в связи с изменением состава лиц, наделённых правом подписи. Основание: ______. Прежняя карточка: ______. Исключение лица из карточки не отменяет само по себе выданную ему доверенность — её нужно отозвать отдельно и уведомить об отзыве.Карточка переоформляется в связи с изменением наименования или иных реквизитов клиента. Основание: ______. Прежняя карточка: ______. Новую карточку подают одновременно с документами о внесении изменений в реестр.Карточка переоформляется в связи с изготовлением новой печати или отказом от печати. Основание: ______. Прежняя карточка: ______. Старую печать после замены уничтожают по акту, чтобы исключить её использование.</w:t>
      </w:r>
    </w:p>
    <w:p>
      <w:pPr>
        <w:ind w:firstLine="425"/>
      </w:pPr>
      <w:r>
        <w:t xml:space="preserve">Права лиц, распоряжающихся денежными средствами на счёте, удостоверяются клиентом путём представления банку документов, предусмотренных законом, банковскими правилами и договором (ст. 847 ГК РФ).</w:t>
      </w:r>
    </w:p>
    <w:p>
      <w:pPr>
        <w:ind w:firstLine="425"/>
      </w:pPr>
      <w:r>
        <w:t xml:space="preserve">Карточка действует до её замены или до закрытия счёта. Срока годности у неё нет, но полномочия конкретных подписантов истекают в свои даты, и за этим следит клиент, а не банк.</w:t>
      </w:r>
    </w:p>
    <w:p>
      <w:pPr>
        <w:pStyle w:val="ClauseHeading"/>
      </w:pPr>
      <w:r>
        <w:rPr>
          <w:b/>
        </w:rPr>
        <w:t xml:space="preserve">Лица с правом подписи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721"/>
        <w:gridCol w:w="2066"/>
        <w:gridCol w:w="1893"/>
        <w:gridCol w:w="1721"/>
        <w:gridCol w:w="172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полномочиях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Полномочия до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личности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Деления на право первой и второй подписи в действующем порядке нет. Клиент перечисляет всех лиц, наделённых правом подписи, и при необходимости указывает их сочетания.</w:t>
      </w:r>
    </w:p>
    <w:p>
      <w:pPr>
        <w:ind w:firstLine="425"/>
      </w:pPr>
      <w:r>
        <w:t xml:space="preserve">Распоряжения по счёту принимаются за подписью любого из указанных лиц.Распоряжения по счёту принимаются только за подписями двух указанных лиц совместно.Установлены особые сочетания подписей: ______. Сочетания вносят в карточку так, чтобы работник банка мог проверить их формально, не разбираясь во внутренних регламентах клиента.</w:t>
      </w:r>
    </w:p>
    <w:p>
      <w:pPr>
        <w:ind w:firstLine="425"/>
      </w:pPr>
      <w:r>
        <w:t xml:space="preserve">Полномочия руководителя подтверждают уставом и решением о назначении, полномочия остальных — доверенностью или приказом (ст. 53 ГК РФ).</w:t>
      </w:r>
    </w:p>
    <w:p>
      <w:pPr>
        <w:ind w:firstLine="425"/>
      </w:pPr>
      <w:r>
        <w:t xml:space="preserve">Доверенность на распоряжение счётом должна прямо называть это полномочие: общая формулировка «представлять интересы» банк не примет (ст. 185 ГК РФ).</w:t>
      </w:r>
    </w:p>
    <w:p>
      <w:pPr>
        <w:ind w:firstLine="425"/>
      </w:pPr>
      <w:r>
        <w:t xml:space="preserve">Если срок в доверенности не указан, она действует один год со дня совершения; доверенность без даты совершения ничтожна (ст. 186 ГК РФ).</w:t>
      </w:r>
    </w:p>
    <w:p>
      <w:pPr>
        <w:ind w:firstLine="425"/>
      </w:pPr>
      <w:r>
        <w:t xml:space="preserve">Главный бухгалтер попадает в карточку только тогда, когда клиент этого хочет: обязательного требования о его подписи в действующем порядке нет.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46"/>
        <w:gridCol w:w="2461"/>
        <w:gridCol w:w="3281"/>
        <w:gridCol w:w="2051"/>
      </w:tblGrid>
      <w:tr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Образец собственноручной подписи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полномочий</w:t>
            </w: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Образец подписи ставят собственноручно ручкой с чернилами чёрного, синего или фиолетового цвета и обязательно в границах отведённого поля: подпись, выходящая за рамку, к сверке непригодна.</w:t>
      </w:r>
    </w:p>
    <w:p>
      <w:pPr>
        <w:pStyle w:val="ClauseHeading"/>
      </w:pPr>
      <w:r>
        <w:rPr>
          <w:b/>
        </w:rPr>
        <w:t xml:space="preserve">Оттиск печати</w:t>
      </w:r>
    </w:p>
    <w:p>
      <w:pPr>
        <w:ind w:firstLine="425"/>
      </w:pPr>
      <w:r>
        <w:t xml:space="preserve">Клиент применяет печать. Описание: ______. Сведения о печати закреплены в учредительном документе: ______.______Клиент печать не применяет, поле оттиска в карточке не заполняется. Общества с ограниченной ответственностью и акционерные общества вправе не иметь печати; сведения о её наличии должны содержаться в уставе.</w:t>
      </w:r>
    </w:p>
    <w:p>
      <w:pPr>
        <w:ind w:firstLine="425"/>
      </w:pPr>
      <w:r>
        <w:t xml:space="preserve">Оттиск проставляют чётко, чернилами синего, фиолетового или чёрного цвета, так чтобы читались все реквизиты. Смазанный оттиск — обычная причина возврата карточки на переоформление.</w:t>
      </w:r>
    </w:p>
    <w:p>
      <w:pPr>
        <w:ind w:firstLine="425"/>
      </w:pPr>
      <w:r>
        <w:t xml:space="preserve">Печать не должна перекрывать образцы подписей: при сверке банк смотрит на подпись, и закрытый оттиском росчерк делает поле непригодным.</w:t>
      </w:r>
    </w:p>
    <w:p>
      <w:pPr>
        <w:ind w:firstLine="425"/>
      </w:pPr>
      <w:r>
        <w:t xml:space="preserve">Если организация отказалась от печати, но старая карточка с оттиском осталась в банке, банк продолжит требовать печать на бумажных документах. Карточку в этом случае переоформляют.</w:t>
      </w:r>
    </w:p>
    <w:p>
      <w:pPr>
        <w:ind w:firstLine="425"/>
      </w:pPr>
      <w:r>
        <w:t xml:space="preserve">Соблюдение простой письменной формы сделки требует подписи лица, совершающего сделку; скрепление печатью — дополнительное требование, которое может быть установлено законом, иными актами или соглашением сторон (ст. 160 ГК РФ).</w:t>
      </w:r>
    </w:p>
    <w:p>
      <w:pPr>
        <w:pStyle w:val="ClauseHeading"/>
      </w:pPr>
      <w:r>
        <w:rPr>
          <w:b/>
        </w:rPr>
        <w:t xml:space="preserve">Удостоверение подписей</w:t>
      </w:r>
    </w:p>
    <w:p>
      <w:pPr>
        <w:ind w:firstLine="425"/>
      </w:pPr>
      <w:r>
        <w:t xml:space="preserve">Подлинность подписей удостоверяется нотариально. Сведения о нотариусе: ______. Все подписанты являются к нотариусу лично с паспортами и документами, подтверждающими полномочия.______Подлинность подписей удостоверяет уполномоченный работник банка. Удостоверяющее лицо: ______. Все подписанты являются в банк лично; работник банка проверяет документы, наблюдает подписание и заверяет карточку.</w:t>
      </w:r>
    </w:p>
    <w:p>
      <w:pPr>
        <w:ind w:firstLine="425"/>
      </w:pPr>
      <w:r>
        <w:t xml:space="preserve">Заочно карточку оформить нельзя: подпись ставят в присутствии удостоверяющего лица, а не приносят готовой.</w:t>
      </w:r>
    </w:p>
    <w:p>
      <w:pPr>
        <w:ind w:firstLine="425"/>
      </w:pPr>
      <w:r>
        <w:t xml:space="preserve">Распоряжения по счёту передаются только в электронном виде и подписываются электронной подписью. В этом случае банк вправе не требовать карточку: право распоряжения удостоверяется сертификатом ключа проверки электронной подписи и соглашением об электронном документообороте (ст. 6 63-ФЗ).______Клиент передаёт распоряжения в том числе на бумажном носителе, поэтому карточка обязательна.</w:t>
      </w:r>
    </w:p>
    <w:p>
      <w:pPr>
        <w:ind w:firstLine="425"/>
      </w:pPr>
      <w:r>
        <w:t xml:space="preserve">Вместе с карточкой в банк представляют устав, документ о назначении руководителя, доверенности подписантов, паспорта, а также сведения, необходимые банку для идентификации клиента.</w:t>
      </w:r>
    </w:p>
    <w:p>
      <w:pPr>
        <w:ind w:firstLine="425"/>
      </w:pPr>
      <w:r>
        <w:t xml:space="preserve">Один экземпляр карточки остаётся в банке; при открытии нескольких счетов банк вправе использовать одну карточку, если состав подписантов и печать совпадают.</w:t>
      </w:r>
    </w:p>
    <w:p>
      <w:pPr>
        <w:ind w:firstLine="425"/>
      </w:pPr>
      <w:r>
        <w:t xml:space="preserve">Порядок оформления, количество экземпляров, срок и способ представления карточки банк определяет своими банковскими правилами, поэтому уточняйте требования до визита к нотариусу.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Внутренний реестр лиц с правом подписи и сроков полномочий</w:t>
      </w:r>
    </w:p>
    <w:p>
      <w:pPr>
        <w:ind w:firstLine="425"/>
      </w:pPr>
      <w:r>
        <w:t xml:space="preserve">Реестр ведёт ______ по счетам, открытым в банке ______.</w:t>
      </w:r>
    </w:p>
    <w:p>
      <w:pPr>
        <w:ind w:firstLine="425"/>
      </w:pPr>
      <w:r>
        <w:t xml:space="preserve">Смысл реестра прост: банк не следит за истечением ваших доверенностей и не напоминает о замене карточки. Это делает клиент.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56"/>
        <w:gridCol w:w="1807"/>
        <w:gridCol w:w="1506"/>
        <w:gridCol w:w="1356"/>
        <w:gridCol w:w="1356"/>
        <w:gridCol w:w="2259"/>
      </w:tblGrid>
      <w:tr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полномочий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11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внесении в карточку</w:t>
            </w: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Реестр проверяют не реже одного раза в квартал и обязательно при любом кадровом изменении, затрагивающем подписантов.</w:t>
      </w:r>
    </w:p>
    <w:p>
      <w:pPr>
        <w:ind w:firstLine="425"/>
      </w:pPr>
      <w:r>
        <w:t xml:space="preserve">К реестру подшивают копию действующей карточки и копии доверенностей: при срочном платеже это экономит день переписки с банком.</w:t>
      </w:r>
    </w:p>
    <w:p>
      <w:pPr>
        <w:ind w:firstLine="425"/>
      </w:pPr>
      <w:r>
        <w:t xml:space="preserve">Отдельной строкой отмечают отозванные доверенности с датой отзыва и способом уведомления представителя.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«Карточка с образцами подписей и оттиска печати для банка» с сайта primadoc.ru. Документ, заполненный под вашу ситуацию, собирается в конструкторе: https://primadoc.ru/doc/kartochka-s-obrazcami-podpisey-i-ottiska-pechati-forma-0401026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Карточка с образцами подписей и оттиска печати для банка — пустой бланк</dc:title>
  <dc:creator>Примадок</dc:creator>
  <dcterms:created xsi:type="dcterms:W3CDTF">2026-09-12T08:03:53Z</dcterms:created>
</cp:coreProperties>
</file>