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ind w:left="4820"/>
        <w:jc w:val="left"/>
      </w:pPr>
      <w:r>
        <w:t xml:space="preserve">В ______.</w:t>
      </w:r>
    </w:p>
    <w:p>
      <w:pPr>
        <w:ind w:left="4820"/>
        <w:jc w:val="left"/>
      </w:pPr>
      <w:r>
        <w:t xml:space="preserve">Истец: ______; адрес, телефон и идентификатор указаны в реквизитах истца. Процессуальное положение: ______.</w:t>
      </w:r>
    </w:p>
    <w:p>
      <w:pPr>
        <w:ind w:left="4820"/>
        <w:jc w:val="left"/>
      </w:pPr>
      <w:r>
        <w:t xml:space="preserve">Ответчик: ______ (______), адрес: ______, идентификатор: ______, телефон и электронная почта: ______.</w:t>
      </w:r>
    </w:p>
    <w:p>
      <w:pPr>
        <w:ind w:left="4820"/>
        <w:jc w:val="left"/>
      </w:pPr>
      <w:r>
        <w:t xml:space="preserve">Третьи лица, не заявляющие самостоятельных требований относительно предмета спора: ______.</w:t>
      </w:r>
    </w:p>
    <w:p>
      <w:pPr>
        <w:ind w:left="4820"/>
        <w:jc w:val="left"/>
      </w:pPr>
      <w:r>
        <w:t xml:space="preserve">Цена иска: ______ рублей. Государственная пошлина: ______ рублей — ______.</w:t>
      </w:r>
    </w:p>
    <w:p>
      <w:pPr>
        <w:ind w:left="4820"/>
        <w:jc w:val="left"/>
      </w:pPr>
      <w:r>
        <w:t xml:space="preserve">Сведения о сторонах, цене иска и перечень прилагаемых документов приводятся в заявлении в силу требований к его форме и содержанию (ст. 131 ГПК).</w:t>
      </w:r>
    </w:p>
    <w:p>
      <w:pPr>
        <w:pStyle w:val="DocTitle"/>
      </w:pPr>
      <w:r>
        <w:t xml:space="preserve">ИСКОВОЕ ЗАЯВЛЕНИЕ по спору об управлении многоквартирным домом</w:t>
      </w:r>
    </w:p>
    <w:p>
      <w:pPr>
        <w:jc w:val="center"/>
        <w:spacing w:after="160"/>
      </w:pPr>
      <w:r>
        <w:t xml:space="preserve">{{field.claim_subject}}</w:t>
      </w:r>
    </w:p>
    <w:p>
      <w:pPr>
        <w:tabs>
          <w:tab w:val="right" w:pos="9639"/>
        </w:tabs>
        <w:spacing w:after="240"/>
      </w:pPr>
      <w:r>
        <w:t xml:space="preserve">г. ______</w:t>
      </w:r>
      <w:r>
        <w:tab/>
        <w:t xml:space="preserve">«__» __________ ____ г.</w:t>
      </w:r>
    </w:p>
    <w:p>
      <w:pPr>
        <w:pStyle w:val="ClauseHeading"/>
      </w:pPr>
      <w:r>
        <w:rPr>
          <w:b/>
        </w:rPr>
        <w:t xml:space="preserve">1. Обстоятельства дела</w:t>
      </w:r>
    </w:p>
    <w:p>
      <w:pPr>
        <w:ind w:firstLine="425"/>
      </w:pPr>
      <w:r>
        <w:t xml:space="preserve">1.1. Спор касается многоквартирного дома по адресу: ______.</w:t>
      </w:r>
    </w:p>
    <w:p>
      <w:pPr>
        <w:ind w:firstLine="425"/>
      </w:pPr>
      <w:r>
        <w:t xml:space="preserve">1.2. Способ управления домом: ______; управление осуществляет ______ на основании договора управления от ______ № ______.</w:t>
      </w:r>
    </w:p>
    <w:p>
      <w:pPr>
        <w:ind w:firstLine="425"/>
      </w:pPr>
      <w:r>
        <w:t xml:space="preserve">1.3. Способ управления и условия договора управления утверждены решением общего собрания собственников от ______, оформленным протоколом № ______.</w:t>
      </w:r>
    </w:p>
    <w:p>
      <w:pPr>
        <w:ind w:firstLine="425"/>
      </w:pPr>
      <w:r>
        <w:t xml:space="preserve">1.4. Предметом спора является помещение: ______ ______, площадь ______ кв. м; основание владения: ______.</w:t>
      </w:r>
    </w:p>
    <w:p>
      <w:pPr>
        <w:ind w:firstLine="425"/>
      </w:pPr>
      <w:r>
        <w:t xml:space="preserve">1.5. Собственник помещения в многоквартирном доме несёт бремя содержания принадлежащего ему помещения и общего имущества дома (ст. 30 ЖК).</w:t>
      </w:r>
    </w:p>
    <w:p>
      <w:pPr>
        <w:ind w:firstLine="425"/>
      </w:pPr>
      <w:r>
        <w:t xml:space="preserve">1.6. Собственникам помещений принадлежат на праве общей долевой собственности помещения общего пользования, крыши, ограждающие конструкции, механическое, электрическое и санитарно-техническое оборудование за пределами или внутри помещений, обслуживающее более одного помещения (ст. 36 ЖК).</w:t>
      </w:r>
    </w:p>
    <w:p>
      <w:pPr>
        <w:ind w:firstLine="425"/>
      </w:pPr>
      <w:r>
        <w:t xml:space="preserve">1.7. Управляющая организация по договору управления обязуется выполнять работы и услуги по надлежащему содержанию и ремонту общего имущества, предоставлять коммунальные услуги и осуществлять иную деятельность, направленную на достижение целей управления домом (ст. 162 ЖК).</w:t>
      </w:r>
    </w:p>
    <w:p>
      <w:pPr>
        <w:ind w:firstLine="425"/>
      </w:pPr>
      <w:r>
        <w:t xml:space="preserve">2.1. ______</w:t>
      </w:r>
    </w:p>
    <w:p>
      <w:pPr>
        <w:ind w:firstLine="425"/>
      </w:pPr>
      <w:r>
        <w:t xml:space="preserve">2.2. Нарушение длится с ______ и на дату подачи настоящего заявления не устранено.</w:t>
      </w:r>
    </w:p>
    <w:p>
      <w:pPr>
        <w:ind w:firstLine="425"/>
      </w:pPr>
      <w:r>
        <w:t xml:space="preserve">2.3. Нарушение зафиксировано актом от ______, составленным с участием представителя исполнителя услуг либо аварийно-диспетчерской службы.</w:t>
      </w:r>
    </w:p>
    <w:p>
      <w:pPr>
        <w:ind w:firstLine="425"/>
      </w:pPr>
      <w:r>
        <w:t xml:space="preserve">2.4. Ресурс или услуга, по которым допущено нарушение: ______.</w:t>
      </w:r>
    </w:p>
    <w:p>
      <w:pPr>
        <w:ind w:firstLine="425"/>
      </w:pPr>
      <w:r>
        <w:t xml:space="preserve">2.5. Управление многоквартирным домом должно обеспечивать благоприятные и безопасные условия проживания граждан, надлежащее содержание общего имущества, решение вопросов пользования им, а также предоставление коммунальных услуг (ст. 161 ЖК).</w:t>
      </w:r>
    </w:p>
    <w:p>
      <w:pPr>
        <w:ind w:firstLine="425"/>
      </w:pPr>
      <w:r>
        <w:t xml:space="preserve">2.6. Изложенные обстоятельства подтверждаются следующими доказательствами: ______.</w:t>
      </w:r>
    </w:p>
    <w:p>
      <w:pPr>
        <w:ind w:firstLine="425"/>
      </w:pPr>
      <w:r>
        <w:t xml:space="preserve">2.7. Документы, на которых Истец основывает свои требования, прилагаются к заявлению (ст. 132 ГПК).</w:t>
      </w:r>
    </w:p>
    <w:p>
      <w:pPr>
        <w:pStyle w:val="ClauseHeading"/>
      </w:pPr>
      <w:r>
        <w:rPr>
          <w:b/>
        </w:rPr>
        <w:t xml:space="preserve">3. Плата за жилое помещение и коммунальные услуги</w:t>
      </w:r>
    </w:p>
    <w:p>
      <w:pPr>
        <w:ind w:firstLine="425"/>
      </w:pPr>
      <w:r>
        <w:t xml:space="preserve">3.1. Граждане и организации обязаны своевременно и полностью вносить плату за жилое помещение и коммунальные услуги; обязанность возникает у собственника с момента возникновения права собственности на помещение (ст. 153 ЖК).</w:t>
      </w:r>
    </w:p>
    <w:p>
      <w:pPr>
        <w:ind w:firstLine="425"/>
      </w:pPr>
      <w:r>
        <w:t xml:space="preserve">3.2. Плата за жилое помещение и коммунальные услуги для собственника включает плату за содержание помещения, взнос на капитальный ремонт и плату за коммунальные услуги (ст. 154 ЖК).</w:t>
      </w:r>
    </w:p>
    <w:p>
      <w:pPr>
        <w:ind w:firstLine="425"/>
      </w:pPr>
      <w:r>
        <w:t xml:space="preserve">3.3. Плата вносится ежемесячно до десятого числа месяца, следующего за истекшим, если иной срок не установлен договором управления или решением общего собрания (ст. 155 ЖК).</w:t>
      </w:r>
    </w:p>
    <w:p>
      <w:pPr>
        <w:ind w:firstLine="425"/>
      </w:pPr>
      <w:r>
        <w:t xml:space="preserve">3.4. Размер платы за содержание жилого помещения определяется на общем собрании собственников с учётом предложений управляющей организации и устанавливается на срок не менее одного года (ст. 156 ЖК).</w:t>
      </w:r>
    </w:p>
    <w:p>
      <w:pPr>
        <w:ind w:firstLine="425"/>
      </w:pPr>
      <w:r>
        <w:t xml:space="preserve">3.5. Собственник помещения обязан нести расходы на содержание принадлежащего ему помещения и участвовать в расходах на содержание общего имущества соразмерно своей доле (ст. 158 ЖК).</w:t>
      </w:r>
    </w:p>
    <w:p>
      <w:pPr>
        <w:ind w:firstLine="425"/>
      </w:pPr>
      <w:r>
        <w:t xml:space="preserve">3.6. Доля обязательных расходов на содержание общего имущества определяется долей в праве общей собственности на это имущество (ст. 39 ЖК).</w:t>
      </w:r>
    </w:p>
    <w:p>
      <w:pPr>
        <w:ind w:firstLine="425"/>
      </w:pPr>
      <w:r>
        <w:t xml:space="preserve">3.7. Применяемый в споре размер платы: ______.</w:t>
      </w:r>
    </w:p>
    <w:p>
      <w:pPr>
        <w:pStyle w:val="ClauseHeading"/>
      </w:pPr>
      <w:r>
        <w:rPr>
          <w:b/>
        </w:rPr>
        <w:t xml:space="preserve">4. Основание требования: долг собственника за ЖКУ</w:t>
      </w:r>
    </w:p>
    <w:p>
      <w:pPr>
        <w:ind w:firstLine="425"/>
      </w:pPr>
      <w:r>
        <w:t xml:space="preserve">4.1. Ответчик является собственником (нанимателем) помещения и обязан своевременно и полностью вносить плату за жилое помещение и коммунальные услуги (ст. 153 ЖК).</w:t>
      </w:r>
    </w:p>
    <w:p>
      <w:pPr>
        <w:ind w:firstLine="425"/>
      </w:pPr>
      <w:r>
        <w:t xml:space="preserve">4.2. Собственник несёт бремя содержания принадлежащего ему имущества, если иное не предусмотрено законом или договором (ст. 210 ГК).</w:t>
      </w:r>
    </w:p>
    <w:p>
      <w:pPr>
        <w:ind w:firstLine="425"/>
      </w:pPr>
      <w:r>
        <w:t xml:space="preserve">4.3. Обязанность по оплате не зависит от факта проживания в помещении, от заключения письменного договора с управляющей организацией и от пользования отдельными услугами: решение общего собрания о выборе управляющей организации обязательно для всех собственников (ст. 158 ЖК).</w:t>
      </w:r>
    </w:p>
    <w:p>
      <w:pPr>
        <w:ind w:firstLine="425"/>
      </w:pPr>
      <w:r>
        <w:t xml:space="preserve">4.4. Задолженность Ответчика за период ______ составляет ______ рублей; постатейный расчёт по периодам и видам услуг приведён в Приложение № 2.</w:t>
      </w:r>
    </w:p>
    <w:p>
      <w:pPr>
        <w:ind w:firstLine="425"/>
      </w:pPr>
      <w:r>
        <w:t xml:space="preserve">4.5. Размер платы определён исходя из тарифа: ______ и площади помещения ______ кв. м.</w:t>
      </w:r>
    </w:p>
    <w:p>
      <w:pPr>
        <w:ind w:firstLine="425"/>
      </w:pPr>
      <w:r>
        <w:t xml:space="preserve">4.6. Лица, несвоевременно и (или) не полностью внёсшие плату, обязаны уплатить пени в установленном законом размере от невыплаченной суммы за каждый день просрочки (ст. 155 ЖК).</w:t>
      </w:r>
    </w:p>
    <w:p>
      <w:pPr>
        <w:ind w:firstLine="425"/>
      </w:pPr>
      <w:r>
        <w:t xml:space="preserve">4.7. Обязательства должны исполняться надлежащим образом в соответствии с их условиями и требованиями закона (ст. 309 ГК).</w:t>
      </w:r>
    </w:p>
    <w:p>
      <w:pPr>
        <w:ind w:firstLine="425"/>
      </w:pPr>
      <w:r>
        <w:t xml:space="preserve">4.8. Ранее вынесенный судебный приказ о взыскании задолженности отменён определением суда в связи с поступившими возражениями Ответчика, что открывает путь к исковому порядку.</w:t>
      </w:r>
    </w:p>
    <w:p>
      <w:pPr>
        <w:pStyle w:val="ClauseHeading"/>
      </w:pPr>
      <w:r>
        <w:rPr>
          <w:b/>
        </w:rPr>
        <w:t xml:space="preserve">5. Основание требования: оплата поставленного ресурса</w:t>
      </w:r>
    </w:p>
    <w:p>
      <w:pPr>
        <w:ind w:firstLine="425"/>
      </w:pPr>
      <w:r>
        <w:t xml:space="preserve">5.1. Между Истцом и Ответчиком сложились отношения по снабжению многоквартирного дома коммунальным ресурсом: ______.</w:t>
      </w:r>
    </w:p>
    <w:p>
      <w:pPr>
        <w:ind w:firstLine="425"/>
      </w:pPr>
      <w:r>
        <w:t xml:space="preserve">5.2. По договору энергоснабжения энергоснабжающая организация обязуется подавать абоненту через присоединённую сеть энергию, а абонент обязуется оплачивать принятую энергию и соблюдать режим её потребления (ст. 539 ГК).</w:t>
      </w:r>
    </w:p>
    <w:p>
      <w:pPr>
        <w:ind w:firstLine="425"/>
      </w:pPr>
      <w:r>
        <w:t xml:space="preserve">5.3. Оплата производится за фактически принятое абонентом количество энергии в соответствии с данными учёта, если иное не предусмотрено законом или соглашением сторон (ст. 544 ГК).</w:t>
      </w:r>
    </w:p>
    <w:p>
      <w:pPr>
        <w:ind w:firstLine="425"/>
      </w:pPr>
      <w:r>
        <w:t xml:space="preserve">5.4. Правила о договоре энергоснабжения применяются к отношениям по снабжению тепловой энергией, газом, водой и другими товарами через присоединённую сеть, если иное не установлено законом (ст. 548 ГК).</w:t>
      </w:r>
    </w:p>
    <w:p>
      <w:pPr>
        <w:ind w:firstLine="425"/>
      </w:pPr>
      <w:r>
        <w:t xml:space="preserve">5.5. Управляющая организация, приобретающая коммунальный ресурс для предоставления коммунальных услуг и для содержания общего имущества, является исполнителем коммунальных услуг и обязана оплачивать ресурс ресурсоснабжающей организации (ст. 161 ЖК).</w:t>
      </w:r>
    </w:p>
    <w:p>
      <w:pPr>
        <w:ind w:firstLine="425"/>
      </w:pPr>
      <w:r>
        <w:t xml:space="preserve">5.6. Отсутствие письменного договора ресурсоснабжения не освобождает управляющую организацию от оплаты фактически поданного в дом ресурса: обязательство возникает из факта потребления.</w:t>
      </w:r>
    </w:p>
    <w:p>
      <w:pPr>
        <w:ind w:firstLine="425"/>
      </w:pPr>
      <w:r>
        <w:t xml:space="preserve">5.7. Задолженность за период ______ составляет ______ рублей и подтверждается актами поданного ресурса, показаниями общедомовых приборов учёта и счетами; расчёт приведён в Приложение № 2.</w:t>
      </w:r>
    </w:p>
    <w:p>
      <w:pPr>
        <w:ind w:firstLine="425"/>
      </w:pPr>
      <w:r>
        <w:t xml:space="preserve">5.8. Размер платы за коммунальные услуги рассчитывается исходя из объёма потребляемых услуг по показаниям приборов учёта, а при их отсутствии — по нормативам потребления (ст. 157 ЖК).</w:t>
      </w:r>
    </w:p>
    <w:p>
      <w:pPr>
        <w:pStyle w:val="ClauseHeading"/>
      </w:pPr>
      <w:r>
        <w:rPr>
          <w:b/>
        </w:rPr>
        <w:t xml:space="preserve">6. Основание требования: перерасчёт платы</w:t>
      </w:r>
    </w:p>
    <w:p>
      <w:pPr>
        <w:ind w:firstLine="425"/>
      </w:pPr>
      <w:r>
        <w:t xml:space="preserve">6.1. При предоставлении коммунальных услуг ненадлежащего качества и (или) с перерывами, превышающими установленную продолжительность, изменение размера платы производится в порядке, установленном Правительством Российской Федерации (ст. 157 ЖК).</w:t>
      </w:r>
    </w:p>
    <w:p>
      <w:pPr>
        <w:ind w:firstLine="425"/>
      </w:pPr>
      <w:r>
        <w:t xml:space="preserve">6.2. Факт нарушения качества услуги зафиксирован актом от ______, составленным с участием исполнителя либо аварийно-диспетчерской службы, и заявками, зарегистрированными в журнале аварийно-диспетчерской службы.</w:t>
      </w:r>
    </w:p>
    <w:p>
      <w:pPr>
        <w:ind w:firstLine="425"/>
      </w:pPr>
      <w:r>
        <w:t xml:space="preserve">6.3. Нарушение касается следующего ресурса или услуги: ______; период нарушения — ______.</w:t>
      </w:r>
    </w:p>
    <w:p>
      <w:pPr>
        <w:ind w:firstLine="425"/>
      </w:pPr>
      <w:r>
        <w:t xml:space="preserve">6.4. Размер платы за содержание жилого помещения при оказании услуг ненадлежащего качества или с перерывами подлежит уменьшению (ст. 156 ЖК).</w:t>
      </w:r>
    </w:p>
    <w:p>
      <w:pPr>
        <w:ind w:firstLine="425"/>
      </w:pPr>
      <w:r>
        <w:t xml:space="preserve">6.5. Потребитель при обнаружении недостатков оказанной услуги вправе потребовать соразмерного уменьшения её цены (ст. 29 ЗОЗПП).</w:t>
      </w:r>
    </w:p>
    <w:p>
      <w:pPr>
        <w:ind w:firstLine="425"/>
      </w:pPr>
      <w:r>
        <w:t xml:space="preserve">6.6. Исполнитель обязан оказать услугу, качество которой соответствует договору и обязательным требованиям (ст. 4 ЗОЗПП).</w:t>
      </w:r>
    </w:p>
    <w:p>
      <w:pPr>
        <w:ind w:firstLine="425"/>
      </w:pPr>
      <w:r>
        <w:t xml:space="preserve">6.7. Сумма перерасчёта за период ______ составляет ______ рублей; расчёт приведён в Приложение № 2.</w:t>
      </w:r>
    </w:p>
    <w:p>
      <w:pPr>
        <w:ind w:firstLine="425"/>
      </w:pPr>
      <w:r>
        <w:t xml:space="preserve">6.8. Добровольно перерасчёт Ответчиком не произведён, начисления продолжаются в полном объёме.</w:t>
      </w:r>
    </w:p>
    <w:p>
      <w:pPr>
        <w:pStyle w:val="ClauseHeading"/>
      </w:pPr>
      <w:r>
        <w:rPr>
          <w:b/>
        </w:rPr>
        <w:t xml:space="preserve">7. Основание требования: ущерб от содержания общего имущества</w:t>
      </w:r>
    </w:p>
    <w:p>
      <w:pPr>
        <w:ind w:firstLine="425"/>
      </w:pPr>
      <w:r>
        <w:t xml:space="preserve">7.1. Вред, причинённый имуществу гражданина или юридического лица, подлежит возмещению в полном объёме лицом, причинившим вред; лицо освобождается от возмещения, если докажет отсутствие своей вины (ст. 1064 ГК).</w:t>
      </w:r>
    </w:p>
    <w:p>
      <w:pPr>
        <w:ind w:firstLine="425"/>
      </w:pPr>
      <w:r>
        <w:t xml:space="preserve">7.2. Лицо, право которого нарушено, вправе требовать полного возмещения причинённых ему убытков (ст. 15 ГК).</w:t>
      </w:r>
    </w:p>
    <w:p>
      <w:pPr>
        <w:ind w:firstLine="425"/>
      </w:pPr>
      <w:r>
        <w:t xml:space="preserve">7.3. Управляющая организация отвечает перед собственниками помещений за оказание всех услуг и выполнение работ, которые обеспечивают надлежащее содержание общего имущества и качество коммунальных услуг (ст. 161 ЖК).</w:t>
      </w:r>
    </w:p>
    <w:p>
      <w:pPr>
        <w:ind w:firstLine="425"/>
      </w:pPr>
      <w:r>
        <w:t xml:space="preserve">7.4. Причиной повреждения имущества Истца послужило ненадлежащее содержание общего имущества, за которое отвечает Ответчик; зона эксплуатационной ответственности определена договором управления и правилами содержания общего имущества.</w:t>
      </w:r>
    </w:p>
    <w:p>
      <w:pPr>
        <w:ind w:firstLine="425"/>
      </w:pPr>
      <w:r>
        <w:t xml:space="preserve">7.5. Размер ущерба составляет ______ рублей и подтверждается актом от ______, заключением специалиста и документами о стоимости восстановительного ремонта.</w:t>
      </w:r>
    </w:p>
    <w:p>
      <w:pPr>
        <w:ind w:firstLine="425"/>
      </w:pPr>
      <w:r>
        <w:t xml:space="preserve">7.6. Лицо, не исполнившее обязательство при осуществлении предпринимательской деятельности, несёт ответственность независимо от вины, если не докажет, что надлежащее исполнение оказалось невозможным вследствие непреодолимой силы (ст. 401 ГК).</w:t>
      </w:r>
    </w:p>
    <w:p>
      <w:pPr>
        <w:ind w:firstLine="425"/>
      </w:pPr>
      <w:r>
        <w:t xml:space="preserve">7.7. Вред, причинённый имуществу потребителя вследствие недостатков услуги, подлежит возмещению исполнителем в полном объёме (ст. 14 ЗОЗПП).</w:t>
      </w:r>
    </w:p>
    <w:p>
      <w:pPr>
        <w:pStyle w:val="ClauseHeading"/>
      </w:pPr>
      <w:r>
        <w:rPr>
          <w:b/>
        </w:rPr>
        <w:t xml:space="preserve">8. Основание требования: содержание и ремонт общего имущества</w:t>
      </w:r>
    </w:p>
    <w:p>
      <w:pPr>
        <w:ind w:firstLine="425"/>
      </w:pPr>
      <w:r>
        <w:t xml:space="preserve">8.1. Управляющая организация обязана обеспечивать надлежащее содержание общего имущества в соответствии с требованиями технических регламентов и правил содержания общего имущества, утверждённых Правительством Российской Федерации (ст. 161 ЖК).</w:t>
      </w:r>
    </w:p>
    <w:p>
      <w:pPr>
        <w:ind w:firstLine="425"/>
      </w:pPr>
      <w:r>
        <w:t xml:space="preserve">8.2. Перечень работ и услуг по содержанию и ремонту общего имущества определяется договором управления и решением общего собрания собственников (ст. 162 ЖК).</w:t>
      </w:r>
    </w:p>
    <w:p>
      <w:pPr>
        <w:ind w:firstLine="425"/>
      </w:pPr>
      <w:r>
        <w:t xml:space="preserve">8.3. Общее имущество должно содержаться в состоянии, обеспечивающем надёжность и безопасность дома, безопасность жизни и здоровья граждан, сохранность имущества, доступность пользования помещениями и соблюдение прав собственников.</w:t>
      </w:r>
    </w:p>
    <w:p>
      <w:pPr>
        <w:ind w:firstLine="425"/>
      </w:pPr>
      <w:r>
        <w:t xml:space="preserve">8.4. Истец требует выполнения следующих работ: ______.</w:t>
      </w:r>
    </w:p>
    <w:p>
      <w:pPr>
        <w:ind w:firstLine="425"/>
      </w:pPr>
      <w:r>
        <w:t xml:space="preserve">8.5. Разумный срок для исполнения обязанности, который Истец просит установить в решении, составляет ______ дней с момента вступления решения в законную силу.</w:t>
      </w:r>
    </w:p>
    <w:p>
      <w:pPr>
        <w:ind w:firstLine="425"/>
      </w:pPr>
      <w:r>
        <w:t xml:space="preserve">8.6. Защита права осуществляется путём присуждения к исполнению обязанности в натуре (ст. 12 ГК).</w:t>
      </w:r>
    </w:p>
    <w:p>
      <w:pPr>
        <w:ind w:firstLine="425"/>
      </w:pPr>
      <w:r>
        <w:t xml:space="preserve">8.7. Кредитор вправе требовать исполнения обязательства в натуре, а суд по требованию кредитора вправе присудить в его пользу денежную сумму на случай неисполнения судебного акта (ст. 308.3 ГК РФ).</w:t>
      </w:r>
    </w:p>
    <w:p>
      <w:pPr>
        <w:ind w:firstLine="425"/>
      </w:pPr>
      <w:r>
        <w:t xml:space="preserve">8.8. Нарушение подтверждено органом государственного жилищного надзора: ______.</w:t>
      </w:r>
    </w:p>
    <w:p>
      <w:pPr>
        <w:pStyle w:val="ClauseHeading"/>
      </w:pPr>
      <w:r>
        <w:rPr>
          <w:b/>
        </w:rPr>
        <w:t xml:space="preserve">9. Основание требования: препятствия в пользовании общим имуществом</w:t>
      </w:r>
    </w:p>
    <w:p>
      <w:pPr>
        <w:ind w:firstLine="425"/>
      </w:pPr>
      <w:r>
        <w:t xml:space="preserve">9.1. Собственник может требовать устранения всяких нарушений его права, хотя бы эти нарушения и не были соединены с лишением владения (ст. 304 ГК).</w:t>
      </w:r>
    </w:p>
    <w:p>
      <w:pPr>
        <w:ind w:firstLine="425"/>
      </w:pPr>
      <w:r>
        <w:t xml:space="preserve">9.2. Права, предусмотренные для собственника, принадлежат также лицу, владеющему имуществом на ином законном основании, в том числе управляющей организации, которой общее имущество передано в управление (ст. 305 ГК).</w:t>
      </w:r>
    </w:p>
    <w:p>
      <w:pPr>
        <w:ind w:firstLine="425"/>
      </w:pPr>
      <w:r>
        <w:t xml:space="preserve">9.3. Уменьшение размера общего имущества в многоквартирном доме возможно только с согласия всех собственников помещений путём его реконструкции; передача объектов общего имущества в пользование иным лицам допускается по решению общего собрания (ст. 36 ЖК).</w:t>
      </w:r>
    </w:p>
    <w:p>
      <w:pPr>
        <w:ind w:firstLine="425"/>
      </w:pPr>
      <w:r>
        <w:t xml:space="preserve">9.4. Принятие решений о пользовании общим имуществом иными лицами относится к компетенции общего собрания собственников помещений (ст. 44 ЖК).</w:t>
      </w:r>
    </w:p>
    <w:p>
      <w:pPr>
        <w:ind w:firstLine="425"/>
      </w:pPr>
      <w:r>
        <w:t xml:space="preserve">9.5. Ответчик самовольно занял часть общего имущества либо создал препятствия в пользовании им: ______.</w:t>
      </w:r>
    </w:p>
    <w:p>
      <w:pPr>
        <w:ind w:firstLine="425"/>
      </w:pPr>
      <w:r>
        <w:t xml:space="preserve">9.6. Решение общего собрания о передаче Ответчику соответствующей части общего имущества не принималось, согласие собственников не получено.</w:t>
      </w:r>
    </w:p>
    <w:p>
      <w:pPr>
        <w:ind w:firstLine="425"/>
      </w:pPr>
      <w:r>
        <w:t xml:space="preserve">9.7. Истец требует освободить занятую часть общего имущества и привести его в первоначальное состояние в срок ______ дней с момента вступления решения в законную силу.</w:t>
      </w:r>
    </w:p>
    <w:p>
      <w:pPr>
        <w:ind w:firstLine="425"/>
      </w:pPr>
      <w:r>
        <w:t xml:space="preserve">9.8. Самовольные конструкции и оборудование подлежат демонтажу силами и за счёт Ответчика.</w:t>
      </w:r>
    </w:p>
    <w:p>
      <w:pPr>
        <w:pStyle w:val="ClauseHeading"/>
      </w:pPr>
      <w:r>
        <w:rPr>
          <w:b/>
        </w:rPr>
        <w:t xml:space="preserve">10. Основание требования: доступ в помещение и к общему имуществу</w:t>
      </w:r>
    </w:p>
    <w:p>
      <w:pPr>
        <w:ind w:firstLine="425"/>
      </w:pPr>
      <w:r>
        <w:t xml:space="preserve">10.1. Собственник помещения обязан поддерживать помещение в надлежащем состоянии, не допуская бесхозяйственного обращения с ним, и соблюдать права и законные интересы соседей, а также правила содержания общего имущества (ст. 30 ЖК).</w:t>
      </w:r>
    </w:p>
    <w:p>
      <w:pPr>
        <w:ind w:firstLine="425"/>
      </w:pPr>
      <w:r>
        <w:t xml:space="preserve">10.2. Инженерные коммуникации, обслуживающие более одного помещения и проходящие внутри помещения, относятся к общему имуществу собственников многоквартирного дома (ст. 36 ЖК).</w:t>
      </w:r>
    </w:p>
    <w:p>
      <w:pPr>
        <w:ind w:firstLine="425"/>
      </w:pPr>
      <w:r>
        <w:t xml:space="preserve">10.3. Управляющая организация обязана обеспечивать надлежащее содержание и ремонт общего имущества, что невозможно без доступа к внутридомовым инженерным системам (ст. 161 ЖК).</w:t>
      </w:r>
    </w:p>
    <w:p>
      <w:pPr>
        <w:ind w:firstLine="425"/>
      </w:pPr>
      <w:r>
        <w:t xml:space="preserve">10.4. Доступ в помещение необходим для следующих целей: ______.</w:t>
      </w:r>
    </w:p>
    <w:p>
      <w:pPr>
        <w:ind w:firstLine="425"/>
      </w:pPr>
      <w:r>
        <w:t xml:space="preserve">10.5. Истец неоднократно уведомлял Ответчика о необходимости предоставить доступ и согласовывал время осмотра, однако доступ не предоставлен, что подтверждается актами о недопуске и заявками.</w:t>
      </w:r>
    </w:p>
    <w:p>
      <w:pPr>
        <w:ind w:firstLine="425"/>
      </w:pPr>
      <w:r>
        <w:t xml:space="preserve">10.6. Отказ в допуске создаёт угрозу аварии, повреждения имущества других собственников и препятствует исполнению обязанностей по содержанию дома.</w:t>
      </w:r>
    </w:p>
    <w:p>
      <w:pPr>
        <w:ind w:firstLine="425"/>
      </w:pPr>
      <w:r>
        <w:t xml:space="preserve">10.7. Защита права осуществляется путём присуждения к исполнению обязанности в натуре — обязания предоставить доступ (ст. 12 ГК).</w:t>
      </w:r>
    </w:p>
    <w:p>
      <w:pPr>
        <w:ind w:firstLine="425"/>
      </w:pPr>
      <w:r>
        <w:t xml:space="preserve">10.8. Истец просит установить срок для предоставления доступа — ______ дней с момента вступления решения в законную силу.</w:t>
      </w:r>
    </w:p>
    <w:p>
      <w:pPr>
        <w:pStyle w:val="ClauseHeading"/>
      </w:pPr>
      <w:r>
        <w:rPr>
          <w:b/>
        </w:rPr>
        <w:t xml:space="preserve">11. Основание требования: недействительность решения собрания</w:t>
      </w:r>
    </w:p>
    <w:p>
      <w:pPr>
        <w:ind w:firstLine="425"/>
      </w:pPr>
      <w:r>
        <w:t xml:space="preserve">11.1. Оспаривается решение общего собрания собственников от ______, оформленное протоколом № ______.</w:t>
      </w:r>
    </w:p>
    <w:p>
      <w:pPr>
        <w:ind w:firstLine="425"/>
      </w:pPr>
      <w:r>
        <w:t xml:space="preserve">11.2. Допущенные нарушения: ______.</w:t>
      </w:r>
    </w:p>
    <w:p>
      <w:pPr>
        <w:ind w:firstLine="425"/>
      </w:pPr>
      <w:r>
        <w:t xml:space="preserve">11.3. Общее собрание собственников помещений является органом управления многоквартирным домом, а его компетенция определена жилищным законодательством (ст. 44 ЖК).</w:t>
      </w:r>
    </w:p>
    <w:p>
      <w:pPr>
        <w:ind w:firstLine="425"/>
      </w:pPr>
      <w:r>
        <w:t xml:space="preserve">11.4. Собственник, по инициативе которого созывается собрание, обязан сообщить об этом остальным собственникам не позднее чем за десять дней до даты проведения; собрание правомочно, если в нём приняли участие собственники, обладающие более чем пятьюдесятью процентами голосов (ст. 45 ЖК).</w:t>
      </w:r>
    </w:p>
    <w:p>
      <w:pPr>
        <w:ind w:firstLine="425"/>
      </w:pPr>
      <w:r>
        <w:t xml:space="preserve">11.5. Решения оформляются протоколом, а собственник, не принимавший участия в голосовании или голосовавший против, вправе обжаловать решение в суд в течение шести месяцев со дня, когда он узнал или должен был узнать о принятом решении (ст. 46 ЖК).</w:t>
      </w:r>
    </w:p>
    <w:p>
      <w:pPr>
        <w:ind w:firstLine="425"/>
      </w:pPr>
      <w:r>
        <w:t xml:space="preserve">11.6. Решение собрания может быть признано недействительным при существенном нарушении порядка созыва и проведения, влияющем на волеизъявление участников, при нарушении равенства прав участников либо при существенном нарушении правил составления протокола (ст. 181.4 ГК РФ).</w:t>
      </w:r>
    </w:p>
    <w:p>
      <w:pPr>
        <w:ind w:firstLine="425"/>
      </w:pPr>
      <w:r>
        <w:t xml:space="preserve">11.7. Решение собрания ничтожно, если оно принято при отсутствии кворума, по вопросу, не включённому в повестку дня, либо по вопросу, не относящемуся к компетенции собрания (ст. 181.5 ГК РФ).</w:t>
      </w:r>
    </w:p>
    <w:p>
      <w:pPr>
        <w:ind w:firstLine="425"/>
      </w:pPr>
      <w:r>
        <w:t xml:space="preserve">11.8. Голосование Истца не могло повлиять на результаты либо решение влечёт для него существенные неблагоприятные последствия, что обосновывает право на обжалование.</w:t>
      </w:r>
    </w:p>
    <w:p>
      <w:pPr>
        <w:pStyle w:val="ClauseHeading"/>
      </w:pPr>
      <w:r>
        <w:rPr>
          <w:b/>
        </w:rPr>
        <w:t xml:space="preserve">12. Основание требования: расторжение договора управления</w:t>
      </w:r>
    </w:p>
    <w:p>
      <w:pPr>
        <w:ind w:firstLine="425"/>
      </w:pPr>
      <w:r>
        <w:t xml:space="preserve">12.1. Собственники помещений на основании решения общего собрания в одностороннем порядке вправе отказаться от исполнения договора управления, если управляющая организация не выполняет условия договора, и принять решение о выборе иной управляющей организации или об изменении способа управления (ст. 162 ЖК).</w:t>
      </w:r>
    </w:p>
    <w:p>
      <w:pPr>
        <w:ind w:firstLine="425"/>
      </w:pPr>
      <w:r>
        <w:t xml:space="preserve">12.2. Договор управления заключается на срок не менее одного года и не более пяти лет, а при отсутствии заявления одной из сторон о прекращении считается продлённым на тот же срок и на тех же условиях.</w:t>
      </w:r>
    </w:p>
    <w:p>
      <w:pPr>
        <w:ind w:firstLine="425"/>
      </w:pPr>
      <w:r>
        <w:t xml:space="preserve">12.3. Изменение и расторжение договора по требованию одной из сторон возможны при существенном нарушении договора другой стороной (ст. 450 ГК).</w:t>
      </w:r>
    </w:p>
    <w:p>
      <w:pPr>
        <w:ind w:firstLine="425"/>
      </w:pPr>
      <w:r>
        <w:t xml:space="preserve">12.4. Существенным признаётся нарушение, которое влечёт для другой стороны такой ущерб, что она в значительной степени лишается того, на что была вправе рассчитывать при заключении договора.</w:t>
      </w:r>
    </w:p>
    <w:p>
      <w:pPr>
        <w:ind w:firstLine="425"/>
      </w:pPr>
      <w:r>
        <w:t xml:space="preserve">12.5. Требование о расторжении может быть заявлено в суд только после получения отказа другой стороны на предложение расторгнуть договор либо неполучения ответа в тридцатидневный срок (ст. 452 ГК).</w:t>
      </w:r>
    </w:p>
    <w:p>
      <w:pPr>
        <w:ind w:firstLine="425"/>
      </w:pPr>
      <w:r>
        <w:t xml:space="preserve">12.6. Предложение расторгнуть договор управления направлено Ответчику ______; согласие не получено.</w:t>
      </w:r>
    </w:p>
    <w:p>
      <w:pPr>
        <w:ind w:firstLine="425"/>
      </w:pPr>
      <w:r>
        <w:t xml:space="preserve">12.7. Изменение способа управления домом и выбор новой управляющей организации отнесены к компетенции общего собрания собственников (ст. 161 ЖК).</w:t>
      </w:r>
    </w:p>
    <w:p>
      <w:pPr>
        <w:ind w:firstLine="425"/>
      </w:pPr>
      <w:r>
        <w:t xml:space="preserve">12.8. Ненадлежащее исполнение договора подтверждено органом государственного жилищного надзора: ______.</w:t>
      </w:r>
    </w:p>
    <w:p>
      <w:pPr>
        <w:pStyle w:val="ClauseHeading"/>
      </w:pPr>
      <w:r>
        <w:rPr>
          <w:b/>
        </w:rPr>
        <w:t xml:space="preserve">13. Основание требования: понуждение к заключению договора управления</w:t>
      </w:r>
    </w:p>
    <w:p>
      <w:pPr>
        <w:ind w:firstLine="425"/>
      </w:pPr>
      <w:r>
        <w:t xml:space="preserve">13.1. Условия договора управления утверждаются общим собранием собственников и являются одинаковыми для всех собственников помещений в доме (ст. 162 ЖК).</w:t>
      </w:r>
    </w:p>
    <w:p>
      <w:pPr>
        <w:ind w:firstLine="425"/>
      </w:pPr>
      <w:r>
        <w:t xml:space="preserve">13.2. При выборе управляющей организации общим собранием собственников с каждым собственником заключается договор управления на условиях, указанных в решении собрания.</w:t>
      </w:r>
    </w:p>
    <w:p>
      <w:pPr>
        <w:ind w:firstLine="425"/>
      </w:pPr>
      <w:r>
        <w:t xml:space="preserve">13.3. Решение общего собрания о выборе способа управления и управляющей организации обязательно для всех собственников помещений, включая тех, кто не участвовал в голосовании (ст. 44 ЖК).</w:t>
      </w:r>
    </w:p>
    <w:p>
      <w:pPr>
        <w:ind w:firstLine="425"/>
      </w:pPr>
      <w:r>
        <w:t xml:space="preserve">13.4. Понуждение к заключению договора не допускается, за исключением случаев, когда обязанность заключить договор предусмотрена законом или добровольно принятым обязательством (ст. 421 ГК).</w:t>
      </w:r>
    </w:p>
    <w:p>
      <w:pPr>
        <w:ind w:firstLine="425"/>
      </w:pPr>
      <w:r>
        <w:t xml:space="preserve">13.5. Если сторона, для которой заключение договора обязательно, уклоняется от его заключения, другая сторона вправе обратиться в суд с требованием о понуждении заключить договор (ст. 445 ГК).</w:t>
      </w:r>
    </w:p>
    <w:p>
      <w:pPr>
        <w:ind w:firstLine="425"/>
      </w:pPr>
      <w:r>
        <w:t xml:space="preserve">13.6. Ответчик от заключения договора управления на утверждённых собранием условиях уклоняется, что подтверждается направленными ему проектом договора и перепиской.</w:t>
      </w:r>
    </w:p>
    <w:p>
      <w:pPr>
        <w:ind w:firstLine="425"/>
      </w:pPr>
      <w:r>
        <w:t xml:space="preserve">13.7. Отсутствие подписанного договора не освобождает собственника от внесения платы, однако создаёт правовую неопределённость в отношениях сторон (ст. 161 ЖК).</w:t>
      </w:r>
    </w:p>
    <w:p>
      <w:pPr>
        <w:ind w:firstLine="425"/>
      </w:pPr>
      <w:r>
        <w:t xml:space="preserve">13.8. Истец просит обязать Ответчика заключить договор управления на условиях, утверждённых протоколом общего собрания от ______ № ______.</w:t>
      </w:r>
    </w:p>
    <w:p>
      <w:pPr>
        <w:pStyle w:val="ClauseHeading"/>
      </w:pPr>
      <w:r>
        <w:rPr>
          <w:b/>
        </w:rPr>
        <w:t xml:space="preserve">14. Основание требования: раскрытие информации и документации</w:t>
      </w:r>
    </w:p>
    <w:p>
      <w:pPr>
        <w:ind w:firstLine="425"/>
      </w:pPr>
      <w:r>
        <w:t xml:space="preserve">14.1. Управляющая организация обязана обеспечить свободный доступ к информации об основных показателях своей финансово-хозяйственной деятельности, об оказываемых услугах и выполняемых работах по содержанию и ремонту общего имущества, о порядке и об условиях их оказания (ст. 161 ЖК).</w:t>
      </w:r>
    </w:p>
    <w:p>
      <w:pPr>
        <w:ind w:firstLine="425"/>
      </w:pPr>
      <w:r>
        <w:t xml:space="preserve">14.2. Управляющая организация ежегодно в течение первого квартала текущего года представляет собственникам помещений отчёт о выполнении договора управления за предыдущий год, если иной срок не установлен договором (ст. 162 ЖК).</w:t>
      </w:r>
    </w:p>
    <w:p>
      <w:pPr>
        <w:ind w:firstLine="425"/>
      </w:pPr>
      <w:r>
        <w:t xml:space="preserve">14.3. Члены товарищества собственников жилья и собственники помещений имеют право знакомиться с уставом, реестром членов, бухгалтерской отчётностью, сметами доходов и расходов, протоколами общих собраний и заключениями ревизионной комиссии (ст. 143.1 ЖК РФ).</w:t>
      </w:r>
    </w:p>
    <w:p>
      <w:pPr>
        <w:ind w:firstLine="425"/>
      </w:pPr>
      <w:r>
        <w:t xml:space="preserve">14.4. Потребитель вправе потребовать предоставления необходимой и достоверной информации об исполнителе, режиме его работы и оказываемых услугах (ст. 8 ЗОЗПП).</w:t>
      </w:r>
    </w:p>
    <w:p>
      <w:pPr>
        <w:ind w:firstLine="425"/>
      </w:pPr>
      <w:r>
        <w:t xml:space="preserve">14.5. Исполнитель обязан своевременно предоставлять потребителю необходимую и достоверную информацию об услугах, обеспечивающую возможность их правильного выбора (ст. 10 ЗОЗПП).</w:t>
      </w:r>
    </w:p>
    <w:p>
      <w:pPr>
        <w:ind w:firstLine="425"/>
      </w:pPr>
      <w:r>
        <w:t xml:space="preserve">14.6. Истец требует предоставить следующие документы и сведения: ______.</w:t>
      </w:r>
    </w:p>
    <w:p>
      <w:pPr>
        <w:ind w:firstLine="425"/>
      </w:pPr>
      <w:r>
        <w:t xml:space="preserve">14.7. Обращение Истца от ______ оставлено без удовлетворения, документы не предоставлены.</w:t>
      </w:r>
    </w:p>
    <w:p>
      <w:pPr>
        <w:ind w:firstLine="425"/>
      </w:pPr>
      <w:r>
        <w:t xml:space="preserve">14.8. Истец просит установить срок для предоставления документов — ______ дней с момента вступления решения в законную силу.</w:t>
      </w:r>
    </w:p>
    <w:p>
      <w:pPr>
        <w:pStyle w:val="ClauseHeading"/>
      </w:pPr>
      <w:r>
        <w:rPr>
          <w:b/>
        </w:rPr>
        <w:t xml:space="preserve">15. Досудебный порядок и обращение в жилищную инспекцию</w:t>
      </w:r>
    </w:p>
    <w:p>
      <w:pPr>
        <w:ind w:firstLine="425"/>
      </w:pPr>
      <w:r>
        <w:t xml:space="preserve">15.1. Досудебный порядок по настоящему спору: ______.</w:t>
      </w:r>
    </w:p>
    <w:p>
      <w:pPr>
        <w:ind w:firstLine="425"/>
      </w:pPr>
      <w:r>
        <w:t xml:space="preserve">15.2. ______ Ответчику направлена претензия с изложением требований; направление подтверждается: ______.</w:t>
      </w:r>
    </w:p>
    <w:p>
      <w:pPr>
        <w:ind w:firstLine="425"/>
      </w:pPr>
      <w:r>
        <w:t xml:space="preserve">15.3. По спорам о взыскании денежных средств, рассматриваемым арбитражным судом, спор передаётся на разрешение суда по истечении тридцати календарных дней со дня направления претензии (ст. 4 АПК).</w:t>
      </w:r>
    </w:p>
    <w:p>
      <w:pPr>
        <w:ind w:firstLine="425"/>
      </w:pPr>
      <w:r>
        <w:t xml:space="preserve">15.4. Требование о расторжении договора управления может быть заявлено в суд только после отказа другой стороны либо неполучения ответа в тридцатидневный срок (ст. 452 ГК).</w:t>
      </w:r>
    </w:p>
    <w:p>
      <w:pPr>
        <w:ind w:firstLine="425"/>
      </w:pPr>
      <w:r>
        <w:t xml:space="preserve">15.5. Для споров граждан-потребителей с управляющей организацией обязательный досудебный порядок законом не установлен, однако претензия подтверждает несоблюдение добровольного порядка удовлетворения требований.</w:t>
      </w:r>
    </w:p>
    <w:p>
      <w:pPr>
        <w:ind w:firstLine="425"/>
      </w:pPr>
      <w:r>
        <w:t xml:space="preserve">15.6. Истец обращался в орган государственного жилищного надзора, осуществляющий контроль за соблюдением требований к содержанию общего имущества и предоставлению коммунальных услуг (ст. 20 ЖК).</w:t>
      </w:r>
    </w:p>
    <w:p>
      <w:pPr>
        <w:ind w:firstLine="425"/>
      </w:pPr>
      <w:r>
        <w:t xml:space="preserve">15.7. Результат обращения: ______.</w:t>
      </w:r>
    </w:p>
    <w:p>
      <w:pPr>
        <w:ind w:firstLine="425"/>
      </w:pPr>
      <w:r>
        <w:t xml:space="preserve">15.8. Судебный приказ о взыскании задолженности отменён, что является условием обращения с исковым заявлением.</w:t>
      </w:r>
    </w:p>
    <w:p>
      <w:pPr>
        <w:ind w:firstLine="425"/>
      </w:pPr>
      <w:r>
        <w:t xml:space="preserve">15.9. Требования Истца в добровольном порядке не удовлетворены, что вынуждает обратиться за судебной защитой.</w:t>
      </w:r>
    </w:p>
    <w:p>
      <w:pPr>
        <w:pStyle w:val="ClauseHeading"/>
      </w:pPr>
      <w:r>
        <w:rPr>
          <w:b/>
        </w:rPr>
        <w:t xml:space="preserve">16. Подсудность и подведомственность</w:t>
      </w:r>
    </w:p>
    <w:p>
      <w:pPr>
        <w:ind w:firstLine="425"/>
      </w:pPr>
      <w:r>
        <w:t xml:space="preserve">16.1. Настоящее заявление подаётся в ______.</w:t>
      </w:r>
    </w:p>
    <w:p>
      <w:pPr>
        <w:ind w:firstLine="425"/>
      </w:pPr>
      <w:r>
        <w:t xml:space="preserve">16.2. Выбранный уровень суда: ______.</w:t>
      </w:r>
    </w:p>
    <w:p>
      <w:pPr>
        <w:ind w:firstLine="425"/>
      </w:pPr>
      <w:r>
        <w:t xml:space="preserve">16.3. Спор между ресурсоснабжающей и управляющей организациями является экономическим и рассматривается арбитражным судом.</w:t>
      </w:r>
    </w:p>
    <w:p>
      <w:pPr>
        <w:ind w:firstLine="425"/>
      </w:pPr>
      <w:r>
        <w:t xml:space="preserve">16.4. Спор с участием гражданина, не имеющего статуса предпринимателя, — судом общей юрисдикции (ст. 27 АПК).</w:t>
      </w:r>
    </w:p>
    <w:p>
      <w:pPr>
        <w:ind w:firstLine="425"/>
      </w:pPr>
      <w:r>
        <w:t xml:space="preserve">16.5. В суде общей юрисдикции имущественные споры при цене иска до пятидесяти тысяч рублей рассматривает мировой судья, при большей цене иска и по требованиям, не подлежащим оценке, — районный суд (ст. 23 ГПК).</w:t>
      </w:r>
    </w:p>
    <w:p>
      <w:pPr>
        <w:ind w:firstLine="425"/>
      </w:pPr>
      <w:r>
        <w:t xml:space="preserve">16.6. Требование о взыскании задолженности по оплате жилого помещения и коммунальных услуг при сумме до пятисот тысяч рублей рассматривается в приказном порядке.</w:t>
      </w:r>
    </w:p>
    <w:p>
      <w:pPr>
        <w:ind w:firstLine="425"/>
      </w:pPr>
      <w:r>
        <w:t xml:space="preserve">16.7. Исковое заявление подаётся после отмены судебного приказа (ст. 122 ГПК).</w:t>
      </w:r>
    </w:p>
    <w:p>
      <w:pPr>
        <w:ind w:firstLine="425"/>
      </w:pPr>
      <w:r>
        <w:t xml:space="preserve">16.8. По общему правилу иск предъявляется по адресу места жительства ответчика-гражданина или по адресу организации (ст. 28 ГПК).</w:t>
      </w:r>
    </w:p>
    <w:p>
      <w:pPr>
        <w:ind w:firstLine="425"/>
      </w:pPr>
      <w:r>
        <w:t xml:space="preserve">16.9. Иск гражданина к управляющей организации о защите прав потребителя может быть предъявлен также по месту жительства истца (ст. 29 ГПК).</w:t>
      </w:r>
    </w:p>
    <w:p>
      <w:pPr>
        <w:ind w:firstLine="425"/>
      </w:pPr>
      <w:r>
        <w:t xml:space="preserve">16.10. Иски о правах на помещения и об освобождении общего имущества предъявляются по месту нахождения многоквартирного дома — это исключительная подсудность (ст. 30 ГПК).</w:t>
      </w:r>
    </w:p>
    <w:p>
      <w:pPr>
        <w:ind w:firstLine="425"/>
      </w:pPr>
      <w:r>
        <w:t xml:space="preserve">16.11. Цена иска определяется исходя из взыскиваемой денежной суммы, а по искам о срочных платежах — совокупностью платежей за соответствующий период (ст. 91 ГПК).</w:t>
      </w:r>
    </w:p>
    <w:p>
      <w:pPr>
        <w:pStyle w:val="ClauseHeading"/>
      </w:pPr>
      <w:r>
        <w:rPr>
          <w:b/>
        </w:rPr>
        <w:t xml:space="preserve">17. Государственная пошлина</w:t>
      </w:r>
    </w:p>
    <w:p>
      <w:pPr>
        <w:ind w:firstLine="425"/>
      </w:pPr>
      <w:r>
        <w:t xml:space="preserve">17.1. По имущественным требованиям, подлежащим оценке, государственная пошлина исчисляется от цены иска, а по требованиям об обязании совершить действия и о признании решения собрания недействительным — в твёрдом размере как за требование неимущественного характера.</w:t>
      </w:r>
    </w:p>
    <w:p>
      <w:pPr>
        <w:ind w:firstLine="425"/>
      </w:pPr>
      <w:r>
        <w:t xml:space="preserve">17.2. Ставки для судов общей юрисдикции и мировых судей установлены статьёй 333.19 Налогового кодекса, для арбитражных судов — статьёй 333.21 Налогового кодекса.</w:t>
      </w:r>
    </w:p>
    <w:p>
      <w:pPr>
        <w:ind w:firstLine="425"/>
      </w:pPr>
      <w:r>
        <w:t xml:space="preserve">17.3. Если заявлено несколько разнородных требований, пошлина уплачивается отдельно по каждому из них; при увеличении размера требований недостающая сумма доплачивается.</w:t>
      </w:r>
    </w:p>
    <w:p>
      <w:pPr>
        <w:ind w:firstLine="425"/>
      </w:pPr>
      <w:r>
        <w:t xml:space="preserve">17.4. Истцы по искам, связанным с нарушением прав потребителей, освобождены от уплаты пошлины при цене иска до одного миллиона рублей (ст. 333.36 НК РФ).</w:t>
      </w:r>
    </w:p>
    <w:p>
      <w:pPr>
        <w:ind w:firstLine="425"/>
      </w:pPr>
      <w:r>
        <w:t xml:space="preserve">17.5. Требование о компенсации морального вреда оплачивается как требование неимущественного характера и в цену иска не включается.</w:t>
      </w:r>
    </w:p>
    <w:p>
      <w:pPr>
        <w:ind w:firstLine="425"/>
      </w:pPr>
      <w:r>
        <w:t xml:space="preserve">17.6. Состояние уплаты по настоящему заявлению: ______; сумма — ______ рублей.</w:t>
      </w:r>
    </w:p>
    <w:p>
      <w:pPr>
        <w:ind w:firstLine="425"/>
      </w:pPr>
      <w:r>
        <w:t xml:space="preserve">17.7. Расходы по уплате пошлины Истец просит возложить на Ответчика по правилам распределения судебных расходов.</w:t>
      </w:r>
    </w:p>
    <w:p>
      <w:pPr>
        <w:ind w:firstLine="425"/>
      </w:pPr>
      <w:r>
        <w:t xml:space="preserve">18.1. На основании изложенного, руководствуясь статьями 12, 15, 304, 309, 330, 1064 Гражданского кодекса Российской Федерации, статьями 30, 36, 39, 44, 46, 153, 154, 155, 156, 157, 158, 161, 162 Жилищного кодекса Российской Федерации, статьями 131 и 132 Гражданского процессуального кодекса Российской Федерации, прошу:</w:t>
      </w:r>
    </w:p>
    <w:p>
      <w:pPr>
        <w:ind w:firstLine="425"/>
      </w:pPr>
      <w:r>
        <w:t xml:space="preserve">18.2. Рассмотреть заявленное требование — ______ — в отношении многоквартирного дома по адресу: ______.</w:t>
      </w:r>
    </w:p>
    <w:p>
      <w:pPr>
        <w:ind w:firstLine="425"/>
      </w:pPr>
      <w:r>
        <w:t xml:space="preserve">18.3. Взыскать с Ответчика в пользу Истца задолженность в размере ______ рублей за период ______.</w:t>
      </w:r>
    </w:p>
    <w:p>
      <w:pPr>
        <w:ind w:firstLine="425"/>
      </w:pPr>
      <w:r>
        <w:t xml:space="preserve">18.4. Взыскать с Ответчика пени в размере ______ рублей по состоянию на ______ и далее по день фактической уплаты долга.</w:t>
      </w:r>
    </w:p>
    <w:p>
      <w:pPr>
        <w:ind w:firstLine="425"/>
      </w:pPr>
      <w:r>
        <w:t xml:space="preserve">18.5. Обязать Ответчика произвести перерасчёт платы за период ______ на сумму ______ рублей.</w:t>
      </w:r>
    </w:p>
    <w:p>
      <w:pPr>
        <w:ind w:firstLine="425"/>
      </w:pPr>
      <w:r>
        <w:t xml:space="preserve">18.6. Взыскать с Ответчика в возмещение ущерба ______ рублей.</w:t>
      </w:r>
    </w:p>
    <w:p>
      <w:pPr>
        <w:ind w:firstLine="425"/>
      </w:pPr>
      <w:r>
        <w:t xml:space="preserve">18.7. Обязать Ответчика в срок ______ дней с момента вступления решения в законную силу выполнить работы: ______.</w:t>
      </w:r>
    </w:p>
    <w:p>
      <w:pPr>
        <w:ind w:firstLine="425"/>
      </w:pPr>
      <w:r>
        <w:t xml:space="preserve">18.8. Обязать Ответчика освободить самовольно занятую часть общего имущества и устранить препятствия в пользовании им.</w:t>
      </w:r>
    </w:p>
    <w:p>
      <w:pPr>
        <w:ind w:firstLine="425"/>
      </w:pPr>
      <w:r>
        <w:t xml:space="preserve">18.9. Обязать Ответчика предоставить доступ в помещение для следующих целей: ______.</w:t>
      </w:r>
    </w:p>
    <w:p>
      <w:pPr>
        <w:ind w:firstLine="425"/>
      </w:pPr>
      <w:r>
        <w:t xml:space="preserve">18.10. Обязать Ответчика предоставить документы и сведения: ______.</w:t>
      </w:r>
    </w:p>
    <w:p>
      <w:pPr>
        <w:ind w:firstLine="425"/>
      </w:pPr>
      <w:r>
        <w:t xml:space="preserve">18.11. Признать недействительным решение общего собрания собственников от ______, оформленное протоколом № ______.</w:t>
      </w:r>
    </w:p>
    <w:p>
      <w:pPr>
        <w:ind w:firstLine="425"/>
      </w:pPr>
      <w:r>
        <w:t xml:space="preserve">18.12. Взыскать с Ответчика компенсацию морального вреда в размере ______ рублей и штраф в размере пятидесяти процентов от присуждённой суммы.</w:t>
      </w:r>
    </w:p>
    <w:p>
      <w:pPr>
        <w:ind w:firstLine="425"/>
      </w:pPr>
      <w:r>
        <w:t xml:space="preserve">18.13. Взыскать с Ответчика расходы на оплату услуг представителя в размере ______ рублей.</w:t>
      </w:r>
    </w:p>
    <w:p>
      <w:pPr>
        <w:ind w:firstLine="425"/>
      </w:pPr>
      <w:r>
        <w:t xml:space="preserve">18.14. Взыскать с Ответчика расходы по уплате государственной пошлины в размере ______ рублей.</w:t>
      </w:r>
    </w:p>
    <w:p>
      <w:pPr>
        <w:ind w:firstLine="425"/>
      </w:pPr>
      <w:r>
        <w:t xml:space="preserve">18.15. ______</w:t>
      </w:r>
    </w:p>
    <w:p>
      <w:pPr>
        <w:ind w:firstLine="425"/>
      </w:pPr>
      <w:r>
        <w:t xml:space="preserve">19.1. Прилагаемые документы:</w:t>
      </w:r>
    </w:p>
    <w:p>
      <w:pPr>
        <w:ind w:firstLine="425"/>
      </w:pPr>
      <w:r>
        <w:t xml:space="preserve">19.2. Уведомление о вручении или иные документы, подтверждающие направление Ответчику и третьим лицам копий искового заявления и приложенных к нему документов, которые у них отсутствуют.</w:t>
      </w:r>
    </w:p>
    <w:p>
      <w:pPr>
        <w:ind w:firstLine="425"/>
      </w:pPr>
      <w:r>
        <w:t xml:space="preserve">19.3. Документ, подтверждающий уплату государственной пошлины, либо ходатайство об отсрочке её уплаты.</w:t>
      </w:r>
    </w:p>
    <w:p>
      <w:pPr>
        <w:ind w:firstLine="425"/>
      </w:pPr>
      <w:r>
        <w:t xml:space="preserve">19.4. Документы о правах на помещение: ______, выписка из Единого государственного реестра недвижимости.</w:t>
      </w:r>
    </w:p>
    <w:p>
      <w:pPr>
        <w:ind w:firstLine="425"/>
      </w:pPr>
      <w:r>
        <w:t xml:space="preserve">19.5. Копия договора управления многоквартирным домом от ______ № ______ с приложениями.</w:t>
      </w:r>
    </w:p>
    <w:p>
      <w:pPr>
        <w:ind w:firstLine="425"/>
      </w:pPr>
      <w:r>
        <w:t xml:space="preserve">19.6. Копия протокола общего собрания собственников от ______ № ______ с приложением бюллетеней и реестра собственников.</w:t>
      </w:r>
    </w:p>
    <w:p>
      <w:pPr>
        <w:ind w:firstLine="425"/>
      </w:pPr>
      <w:r>
        <w:t xml:space="preserve">19.7. Документ, подтверждающий размер платы и тариф: ______.</w:t>
      </w:r>
    </w:p>
    <w:p>
      <w:pPr>
        <w:ind w:firstLine="425"/>
      </w:pPr>
      <w:r>
        <w:t xml:space="preserve">19.8. Копия акта от ______ о нарушении качества услуги, о заливе или о недопуске в помещение.</w:t>
      </w:r>
    </w:p>
    <w:p>
      <w:pPr>
        <w:ind w:firstLine="425"/>
      </w:pPr>
      <w:r>
        <w:t xml:space="preserve">19.9. Платёжные документы и выписка по лицевому счёту помещения.</w:t>
      </w:r>
    </w:p>
    <w:p>
      <w:pPr>
        <w:ind w:firstLine="425"/>
      </w:pPr>
      <w:r>
        <w:t xml:space="preserve">19.10. Документы, подтверждающие обстоятельства дела: ______.</w:t>
      </w:r>
    </w:p>
    <w:p>
      <w:pPr>
        <w:ind w:firstLine="425"/>
      </w:pPr>
      <w:r>
        <w:t xml:space="preserve">19.11. Копия обращения в орган государственного жилищного надзора и полученный ответ: ______.</w:t>
      </w:r>
    </w:p>
    <w:p>
      <w:pPr>
        <w:ind w:firstLine="425"/>
      </w:pPr>
      <w:r>
        <w:t xml:space="preserve">19.12. Копия определения об отмене судебного приказа о взыскании задолженности.</w:t>
      </w:r>
    </w:p>
    <w:p>
      <w:pPr>
        <w:ind w:firstLine="425"/>
      </w:pPr>
      <w:r>
        <w:t xml:space="preserve">19.13. Копия претензии от ______ с доказательствами её направления Ответчику.</w:t>
      </w:r>
    </w:p>
    <w:p>
      <w:pPr>
        <w:ind w:firstLine="425"/>
      </w:pPr>
      <w:r>
        <w:t xml:space="preserve">19.14. Расчёт цены иска, подписанный Истцом, — Приложение № 1.</w:t>
      </w:r>
    </w:p>
    <w:p>
      <w:pPr>
        <w:ind w:firstLine="425"/>
      </w:pPr>
      <w:r>
        <w:t xml:space="preserve">19.15. Расчёт задолженности (перерасчёта) по периодам — Приложение № 2.</w:t>
      </w:r>
    </w:p>
    <w:p>
      <w:pPr>
        <w:ind w:firstLine="425"/>
      </w:pPr>
      <w:r>
        <w:t xml:space="preserve">19.16. Расчёт пеней — Приложение № 3.</w:t>
      </w:r>
    </w:p>
    <w:p>
      <w:pPr>
        <w:ind w:firstLine="425"/>
      </w:pPr>
      <w:r>
        <w:t xml:space="preserve">19.17. Доверенность представителя и документ о его высшем юридическом образовании.</w:t>
      </w:r>
    </w:p>
    <w:p>
      <w:pPr>
        <w:ind w:firstLine="425"/>
      </w:pPr>
      <w:r>
        <w:t xml:space="preserve">19.18. ______</w:t>
      </w:r>
    </w:p>
    <w:p>
      <w:pPr>
        <w:pageBreakBefore/>
      </w:pPr>
    </w:p>
    <w:p>
      <w:pPr>
        <w:jc w:val="right"/>
      </w:pPr>
      <w:r>
        <w:rPr>
          <w:b/>
        </w:rPr>
        <w:t xml:space="preserve">Приложение № 1 к документу</w:t>
      </w:r>
    </w:p>
    <w:p>
      <w:pPr>
        <w:pStyle w:val="DocTitle"/>
      </w:pPr>
      <w:r>
        <w:t xml:space="preserve">Расчёт цены иска</w:t>
      </w:r>
    </w:p>
    <w:p>
      <w:pPr>
        <w:ind w:firstLine="425"/>
      </w:pPr>
      <w:r>
        <w:t xml:space="preserve">Расчёт составлен по состоянию на ______ по помещению ______ ______ в доме по адресу: ______.</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1033"/>
        <w:gridCol w:w="3442"/>
        <w:gridCol w:w="3098"/>
        <w:gridCol w:w="2066"/>
      </w:tblGrid>
      <w:tr>
        <w:tc>
          <w:tcPr>
            <w:tcW w:w="536" w:type="pct"/>
            <w:vAlign w:val="center"/>
          </w:tcPr>
          <w:p>
            <w:pPr>
              <w:jc w:val="center"/>
              <w:ind w:firstLine="0"/>
            </w:pPr>
            <w:r>
              <w:rPr>
                <w:b/>
              </w:rPr>
              <w:t xml:space="preserve">№</w:t>
            </w:r>
          </w:p>
        </w:tc>
        <w:tc>
          <w:tcPr>
            <w:tcW w:w="1786" w:type="pct"/>
            <w:vAlign w:val="center"/>
          </w:tcPr>
          <w:p>
            <w:pPr>
              <w:jc w:val="center"/>
              <w:ind w:firstLine="0"/>
            </w:pPr>
            <w:r>
              <w:rPr>
                <w:b/>
              </w:rPr>
              <w:t xml:space="preserve">Требование</w:t>
            </w:r>
          </w:p>
        </w:tc>
        <w:tc>
          <w:tcPr>
            <w:tcW w:w="1607" w:type="pct"/>
            <w:vAlign w:val="center"/>
          </w:tcPr>
          <w:p>
            <w:pPr>
              <w:jc w:val="center"/>
              <w:ind w:firstLine="0"/>
            </w:pPr>
            <w:r>
              <w:rPr>
                <w:b/>
              </w:rPr>
              <w:t xml:space="preserve">Основание и период</w:t>
            </w:r>
          </w:p>
        </w:tc>
        <w:tc>
          <w:tcPr>
            <w:tcW w:w="1071" w:type="pct"/>
            <w:vAlign w:val="center"/>
          </w:tcPr>
          <w:p>
            <w:pPr>
              <w:jc w:val="center"/>
              <w:ind w:firstLine="0"/>
            </w:pPr>
            <w:r>
              <w:rPr>
                <w:b/>
              </w:rPr>
              <w:t xml:space="preserve">Сумма, руб.</w:t>
            </w: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bl>
    <w:p/>
    <w:p>
      <w:pPr>
        <w:ind w:firstLine="425"/>
      </w:pPr>
      <w:r>
        <w:t xml:space="preserve">Итого цена иска: ______ рублей.</w:t>
      </w:r>
    </w:p>
    <w:p>
      <w:pPr>
        <w:ind w:firstLine="425"/>
      </w:pPr>
      <w:r>
        <w:t xml:space="preserve">Государственная пошлина: ______ рублей.</w:t>
      </w:r>
    </w:p>
    <w:p>
      <w:pPr>
        <w:ind w:firstLine="425"/>
      </w:pPr>
      <w:r>
        <w:t xml:space="preserve">Компенсация морального вреда в цену иска не включается и оплачивается как требование неимущественного характера.</w:t>
      </w:r>
    </w:p>
    <w:p>
      <w:pPr>
        <w:ind w:firstLine="425"/>
      </w:pPr>
      <w:r>
        <w:t xml:space="preserve">Расчёт составил и подписал Истец — ______.</w:t>
      </w:r>
    </w:p>
    <w:p>
      <w:pPr>
        <w:pageBreakBefore/>
      </w:pPr>
    </w:p>
    <w:p>
      <w:pPr>
        <w:jc w:val="right"/>
      </w:pPr>
      <w:r>
        <w:rPr>
          <w:b/>
        </w:rPr>
        <w:t xml:space="preserve">Приложение № 2 к документу</w:t>
      </w:r>
    </w:p>
    <w:p>
      <w:pPr>
        <w:pStyle w:val="DocTitle"/>
      </w:pPr>
      <w:r>
        <w:t xml:space="preserve">Расчёт задолженности и перерасчёта по периодам</w:t>
      </w:r>
    </w:p>
    <w:p>
      <w:pPr>
        <w:ind w:firstLine="425"/>
      </w:pPr>
      <w:r>
        <w:t xml:space="preserve">Расчёт по помещению площадью ______ кв. м; применяемый размер платы — ______.</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516"/>
        <w:gridCol w:w="861"/>
        <w:gridCol w:w="1033"/>
        <w:gridCol w:w="1549"/>
        <w:gridCol w:w="1033"/>
        <w:gridCol w:w="2238"/>
        <w:gridCol w:w="2410"/>
      </w:tblGrid>
      <w:tr>
        <w:tc>
          <w:tcPr>
            <w:tcW w:w="268" w:type="pct"/>
            <w:vAlign w:val="center"/>
          </w:tcPr>
          <w:p>
            <w:pPr>
              <w:jc w:val="center"/>
              <w:ind w:firstLine="0"/>
            </w:pPr>
            <w:r>
              <w:rPr>
                <w:b/>
              </w:rPr>
              <w:t xml:space="preserve">№</w:t>
            </w:r>
          </w:p>
        </w:tc>
        <w:tc>
          <w:tcPr>
            <w:tcW w:w="446" w:type="pct"/>
            <w:vAlign w:val="center"/>
          </w:tcPr>
          <w:p>
            <w:pPr>
              <w:jc w:val="center"/>
              <w:ind w:firstLine="0"/>
            </w:pPr>
            <w:r>
              <w:rPr>
                <w:b/>
              </w:rPr>
              <w:t xml:space="preserve">Месяц</w:t>
            </w:r>
          </w:p>
        </w:tc>
        <w:tc>
          <w:tcPr>
            <w:tcW w:w="536" w:type="pct"/>
            <w:vAlign w:val="center"/>
          </w:tcPr>
          <w:p>
            <w:pPr>
              <w:jc w:val="center"/>
              <w:ind w:firstLine="0"/>
            </w:pPr>
            <w:r>
              <w:rPr>
                <w:b/>
              </w:rPr>
              <w:t xml:space="preserve">Вид услуги</w:t>
            </w:r>
          </w:p>
        </w:tc>
        <w:tc>
          <w:tcPr>
            <w:tcW w:w="804" w:type="pct"/>
            <w:vAlign w:val="center"/>
          </w:tcPr>
          <w:p>
            <w:pPr>
              <w:jc w:val="center"/>
              <w:ind w:firstLine="0"/>
            </w:pPr>
            <w:r>
              <w:rPr>
                <w:b/>
              </w:rPr>
              <w:t xml:space="preserve">Объём или норматив</w:t>
            </w:r>
          </w:p>
        </w:tc>
        <w:tc>
          <w:tcPr>
            <w:tcW w:w="536" w:type="pct"/>
            <w:vAlign w:val="center"/>
          </w:tcPr>
          <w:p>
            <w:pPr>
              <w:jc w:val="center"/>
              <w:ind w:firstLine="0"/>
            </w:pPr>
            <w:r>
              <w:rPr>
                <w:b/>
              </w:rPr>
              <w:t xml:space="preserve">Тариф, руб.</w:t>
            </w:r>
          </w:p>
        </w:tc>
        <w:tc>
          <w:tcPr>
            <w:tcW w:w="1161" w:type="pct"/>
            <w:vAlign w:val="center"/>
          </w:tcPr>
          <w:p>
            <w:pPr>
              <w:jc w:val="center"/>
              <w:ind w:firstLine="0"/>
            </w:pPr>
            <w:r>
              <w:rPr>
                <w:b/>
              </w:rPr>
              <w:t xml:space="preserve">Начислено / оплачено, руб.</w:t>
            </w:r>
          </w:p>
        </w:tc>
        <w:tc>
          <w:tcPr>
            <w:tcW w:w="1250" w:type="pct"/>
            <w:vAlign w:val="center"/>
          </w:tcPr>
          <w:p>
            <w:pPr>
              <w:jc w:val="center"/>
              <w:ind w:firstLine="0"/>
            </w:pPr>
            <w:r>
              <w:rPr>
                <w:b/>
              </w:rPr>
              <w:t xml:space="preserve">Задолженность, руб.</w:t>
            </w:r>
          </w:p>
        </w:tc>
      </w:tr>
      <w:tr>
        <w:trPr>
          <w:trHeight w:val="397" w:hRule="atLeast"/>
        </w:trPr>
        <w:tc>
          <w:tcPr>
            <w:tcW w:w="268" w:type="pct"/>
            <w:vAlign w:val="center"/>
          </w:tcPr>
          <w:p>
            <w:pPr>
              <w:jc w:val="center"/>
              <w:ind w:firstLine="0"/>
            </w:pPr>
          </w:p>
        </w:tc>
        <w:tc>
          <w:tcPr>
            <w:tcW w:w="446" w:type="pct"/>
            <w:vAlign w:val="center"/>
          </w:tcPr>
          <w:p>
            <w:pPr>
              <w:jc w:val="left"/>
              <w:ind w:firstLine="0"/>
            </w:pPr>
          </w:p>
        </w:tc>
        <w:tc>
          <w:tcPr>
            <w:tcW w:w="536" w:type="pct"/>
            <w:vAlign w:val="center"/>
          </w:tcPr>
          <w:p>
            <w:pPr>
              <w:jc w:val="left"/>
              <w:ind w:firstLine="0"/>
            </w:pPr>
          </w:p>
        </w:tc>
        <w:tc>
          <w:tcPr>
            <w:tcW w:w="804" w:type="pct"/>
            <w:vAlign w:val="center"/>
          </w:tcPr>
          <w:p>
            <w:pPr>
              <w:jc w:val="left"/>
              <w:ind w:firstLine="0"/>
            </w:pPr>
          </w:p>
        </w:tc>
        <w:tc>
          <w:tcPr>
            <w:tcW w:w="536" w:type="pct"/>
            <w:vAlign w:val="center"/>
          </w:tcPr>
          <w:p>
            <w:pPr>
              <w:jc w:val="left"/>
              <w:ind w:firstLine="0"/>
            </w:pPr>
          </w:p>
        </w:tc>
        <w:tc>
          <w:tcPr>
            <w:tcW w:w="1161" w:type="pct"/>
            <w:vAlign w:val="center"/>
          </w:tcPr>
          <w:p>
            <w:pPr>
              <w:jc w:val="left"/>
              <w:ind w:firstLine="0"/>
            </w:pPr>
          </w:p>
        </w:tc>
        <w:tc>
          <w:tcPr>
            <w:tcW w:w="1250" w:type="pct"/>
            <w:vAlign w:val="center"/>
          </w:tcPr>
          <w:p>
            <w:pPr>
              <w:jc w:val="left"/>
              <w:ind w:firstLine="0"/>
            </w:pPr>
          </w:p>
        </w:tc>
      </w:tr>
      <w:tr>
        <w:trPr>
          <w:trHeight w:val="397" w:hRule="atLeast"/>
        </w:trPr>
        <w:tc>
          <w:tcPr>
            <w:tcW w:w="268" w:type="pct"/>
            <w:vAlign w:val="center"/>
          </w:tcPr>
          <w:p>
            <w:pPr>
              <w:jc w:val="center"/>
              <w:ind w:firstLine="0"/>
            </w:pPr>
          </w:p>
        </w:tc>
        <w:tc>
          <w:tcPr>
            <w:tcW w:w="446" w:type="pct"/>
            <w:vAlign w:val="center"/>
          </w:tcPr>
          <w:p>
            <w:pPr>
              <w:jc w:val="left"/>
              <w:ind w:firstLine="0"/>
            </w:pPr>
          </w:p>
        </w:tc>
        <w:tc>
          <w:tcPr>
            <w:tcW w:w="536" w:type="pct"/>
            <w:vAlign w:val="center"/>
          </w:tcPr>
          <w:p>
            <w:pPr>
              <w:jc w:val="left"/>
              <w:ind w:firstLine="0"/>
            </w:pPr>
          </w:p>
        </w:tc>
        <w:tc>
          <w:tcPr>
            <w:tcW w:w="804" w:type="pct"/>
            <w:vAlign w:val="center"/>
          </w:tcPr>
          <w:p>
            <w:pPr>
              <w:jc w:val="left"/>
              <w:ind w:firstLine="0"/>
            </w:pPr>
          </w:p>
        </w:tc>
        <w:tc>
          <w:tcPr>
            <w:tcW w:w="536" w:type="pct"/>
            <w:vAlign w:val="center"/>
          </w:tcPr>
          <w:p>
            <w:pPr>
              <w:jc w:val="left"/>
              <w:ind w:firstLine="0"/>
            </w:pPr>
          </w:p>
        </w:tc>
        <w:tc>
          <w:tcPr>
            <w:tcW w:w="1161" w:type="pct"/>
            <w:vAlign w:val="center"/>
          </w:tcPr>
          <w:p>
            <w:pPr>
              <w:jc w:val="left"/>
              <w:ind w:firstLine="0"/>
            </w:pPr>
          </w:p>
        </w:tc>
        <w:tc>
          <w:tcPr>
            <w:tcW w:w="1250" w:type="pct"/>
            <w:vAlign w:val="center"/>
          </w:tcPr>
          <w:p>
            <w:pPr>
              <w:jc w:val="left"/>
              <w:ind w:firstLine="0"/>
            </w:pPr>
          </w:p>
        </w:tc>
      </w:tr>
      <w:tr>
        <w:trPr>
          <w:trHeight w:val="397" w:hRule="atLeast"/>
        </w:trPr>
        <w:tc>
          <w:tcPr>
            <w:tcW w:w="268" w:type="pct"/>
            <w:vAlign w:val="center"/>
          </w:tcPr>
          <w:p>
            <w:pPr>
              <w:jc w:val="center"/>
              <w:ind w:firstLine="0"/>
            </w:pPr>
          </w:p>
        </w:tc>
        <w:tc>
          <w:tcPr>
            <w:tcW w:w="446" w:type="pct"/>
            <w:vAlign w:val="center"/>
          </w:tcPr>
          <w:p>
            <w:pPr>
              <w:jc w:val="left"/>
              <w:ind w:firstLine="0"/>
            </w:pPr>
          </w:p>
        </w:tc>
        <w:tc>
          <w:tcPr>
            <w:tcW w:w="536" w:type="pct"/>
            <w:vAlign w:val="center"/>
          </w:tcPr>
          <w:p>
            <w:pPr>
              <w:jc w:val="left"/>
              <w:ind w:firstLine="0"/>
            </w:pPr>
          </w:p>
        </w:tc>
        <w:tc>
          <w:tcPr>
            <w:tcW w:w="804" w:type="pct"/>
            <w:vAlign w:val="center"/>
          </w:tcPr>
          <w:p>
            <w:pPr>
              <w:jc w:val="left"/>
              <w:ind w:firstLine="0"/>
            </w:pPr>
          </w:p>
        </w:tc>
        <w:tc>
          <w:tcPr>
            <w:tcW w:w="536" w:type="pct"/>
            <w:vAlign w:val="center"/>
          </w:tcPr>
          <w:p>
            <w:pPr>
              <w:jc w:val="left"/>
              <w:ind w:firstLine="0"/>
            </w:pPr>
          </w:p>
        </w:tc>
        <w:tc>
          <w:tcPr>
            <w:tcW w:w="1161" w:type="pct"/>
            <w:vAlign w:val="center"/>
          </w:tcPr>
          <w:p>
            <w:pPr>
              <w:jc w:val="left"/>
              <w:ind w:firstLine="0"/>
            </w:pPr>
          </w:p>
        </w:tc>
        <w:tc>
          <w:tcPr>
            <w:tcW w:w="1250" w:type="pct"/>
            <w:vAlign w:val="center"/>
          </w:tcPr>
          <w:p>
            <w:pPr>
              <w:jc w:val="left"/>
              <w:ind w:firstLine="0"/>
            </w:pPr>
          </w:p>
        </w:tc>
      </w:tr>
      <w:tr>
        <w:trPr>
          <w:trHeight w:val="397" w:hRule="atLeast"/>
        </w:trPr>
        <w:tc>
          <w:tcPr>
            <w:tcW w:w="268" w:type="pct"/>
            <w:vAlign w:val="center"/>
          </w:tcPr>
          <w:p>
            <w:pPr>
              <w:jc w:val="center"/>
              <w:ind w:firstLine="0"/>
            </w:pPr>
          </w:p>
        </w:tc>
        <w:tc>
          <w:tcPr>
            <w:tcW w:w="446" w:type="pct"/>
            <w:vAlign w:val="center"/>
          </w:tcPr>
          <w:p>
            <w:pPr>
              <w:jc w:val="left"/>
              <w:ind w:firstLine="0"/>
            </w:pPr>
          </w:p>
        </w:tc>
        <w:tc>
          <w:tcPr>
            <w:tcW w:w="536" w:type="pct"/>
            <w:vAlign w:val="center"/>
          </w:tcPr>
          <w:p>
            <w:pPr>
              <w:jc w:val="left"/>
              <w:ind w:firstLine="0"/>
            </w:pPr>
          </w:p>
        </w:tc>
        <w:tc>
          <w:tcPr>
            <w:tcW w:w="804" w:type="pct"/>
            <w:vAlign w:val="center"/>
          </w:tcPr>
          <w:p>
            <w:pPr>
              <w:jc w:val="left"/>
              <w:ind w:firstLine="0"/>
            </w:pPr>
          </w:p>
        </w:tc>
        <w:tc>
          <w:tcPr>
            <w:tcW w:w="536" w:type="pct"/>
            <w:vAlign w:val="center"/>
          </w:tcPr>
          <w:p>
            <w:pPr>
              <w:jc w:val="left"/>
              <w:ind w:firstLine="0"/>
            </w:pPr>
          </w:p>
        </w:tc>
        <w:tc>
          <w:tcPr>
            <w:tcW w:w="1161" w:type="pct"/>
            <w:vAlign w:val="center"/>
          </w:tcPr>
          <w:p>
            <w:pPr>
              <w:jc w:val="left"/>
              <w:ind w:firstLine="0"/>
            </w:pPr>
          </w:p>
        </w:tc>
        <w:tc>
          <w:tcPr>
            <w:tcW w:w="1250" w:type="pct"/>
            <w:vAlign w:val="center"/>
          </w:tcPr>
          <w:p>
            <w:pPr>
              <w:jc w:val="left"/>
              <w:ind w:firstLine="0"/>
            </w:pPr>
          </w:p>
        </w:tc>
      </w:tr>
      <w:tr>
        <w:trPr>
          <w:trHeight w:val="397" w:hRule="atLeast"/>
        </w:trPr>
        <w:tc>
          <w:tcPr>
            <w:tcW w:w="268" w:type="pct"/>
            <w:vAlign w:val="center"/>
          </w:tcPr>
          <w:p>
            <w:pPr>
              <w:jc w:val="center"/>
              <w:ind w:firstLine="0"/>
            </w:pPr>
          </w:p>
        </w:tc>
        <w:tc>
          <w:tcPr>
            <w:tcW w:w="446" w:type="pct"/>
            <w:vAlign w:val="center"/>
          </w:tcPr>
          <w:p>
            <w:pPr>
              <w:jc w:val="left"/>
              <w:ind w:firstLine="0"/>
            </w:pPr>
          </w:p>
        </w:tc>
        <w:tc>
          <w:tcPr>
            <w:tcW w:w="536" w:type="pct"/>
            <w:vAlign w:val="center"/>
          </w:tcPr>
          <w:p>
            <w:pPr>
              <w:jc w:val="left"/>
              <w:ind w:firstLine="0"/>
            </w:pPr>
          </w:p>
        </w:tc>
        <w:tc>
          <w:tcPr>
            <w:tcW w:w="804" w:type="pct"/>
            <w:vAlign w:val="center"/>
          </w:tcPr>
          <w:p>
            <w:pPr>
              <w:jc w:val="left"/>
              <w:ind w:firstLine="0"/>
            </w:pPr>
          </w:p>
        </w:tc>
        <w:tc>
          <w:tcPr>
            <w:tcW w:w="536" w:type="pct"/>
            <w:vAlign w:val="center"/>
          </w:tcPr>
          <w:p>
            <w:pPr>
              <w:jc w:val="left"/>
              <w:ind w:firstLine="0"/>
            </w:pPr>
          </w:p>
        </w:tc>
        <w:tc>
          <w:tcPr>
            <w:tcW w:w="1161" w:type="pct"/>
            <w:vAlign w:val="center"/>
          </w:tcPr>
          <w:p>
            <w:pPr>
              <w:jc w:val="left"/>
              <w:ind w:firstLine="0"/>
            </w:pPr>
          </w:p>
        </w:tc>
        <w:tc>
          <w:tcPr>
            <w:tcW w:w="1250" w:type="pct"/>
            <w:vAlign w:val="center"/>
          </w:tcPr>
          <w:p>
            <w:pPr>
              <w:jc w:val="left"/>
              <w:ind w:firstLine="0"/>
            </w:pPr>
          </w:p>
        </w:tc>
      </w:tr>
      <w:tr>
        <w:trPr>
          <w:trHeight w:val="397" w:hRule="atLeast"/>
        </w:trPr>
        <w:tc>
          <w:tcPr>
            <w:tcW w:w="268" w:type="pct"/>
            <w:vAlign w:val="center"/>
          </w:tcPr>
          <w:p>
            <w:pPr>
              <w:jc w:val="center"/>
              <w:ind w:firstLine="0"/>
            </w:pPr>
          </w:p>
        </w:tc>
        <w:tc>
          <w:tcPr>
            <w:tcW w:w="446" w:type="pct"/>
            <w:vAlign w:val="center"/>
          </w:tcPr>
          <w:p>
            <w:pPr>
              <w:jc w:val="left"/>
              <w:ind w:firstLine="0"/>
            </w:pPr>
          </w:p>
        </w:tc>
        <w:tc>
          <w:tcPr>
            <w:tcW w:w="536" w:type="pct"/>
            <w:vAlign w:val="center"/>
          </w:tcPr>
          <w:p>
            <w:pPr>
              <w:jc w:val="left"/>
              <w:ind w:firstLine="0"/>
            </w:pPr>
          </w:p>
        </w:tc>
        <w:tc>
          <w:tcPr>
            <w:tcW w:w="804" w:type="pct"/>
            <w:vAlign w:val="center"/>
          </w:tcPr>
          <w:p>
            <w:pPr>
              <w:jc w:val="left"/>
              <w:ind w:firstLine="0"/>
            </w:pPr>
          </w:p>
        </w:tc>
        <w:tc>
          <w:tcPr>
            <w:tcW w:w="536" w:type="pct"/>
            <w:vAlign w:val="center"/>
          </w:tcPr>
          <w:p>
            <w:pPr>
              <w:jc w:val="left"/>
              <w:ind w:firstLine="0"/>
            </w:pPr>
          </w:p>
        </w:tc>
        <w:tc>
          <w:tcPr>
            <w:tcW w:w="1161" w:type="pct"/>
            <w:vAlign w:val="center"/>
          </w:tcPr>
          <w:p>
            <w:pPr>
              <w:jc w:val="left"/>
              <w:ind w:firstLine="0"/>
            </w:pPr>
          </w:p>
        </w:tc>
        <w:tc>
          <w:tcPr>
            <w:tcW w:w="1250" w:type="pct"/>
            <w:vAlign w:val="center"/>
          </w:tcPr>
          <w:p>
            <w:pPr>
              <w:jc w:val="left"/>
              <w:ind w:firstLine="0"/>
            </w:pPr>
          </w:p>
        </w:tc>
      </w:tr>
      <w:tr>
        <w:trPr>
          <w:trHeight w:val="397" w:hRule="atLeast"/>
        </w:trPr>
        <w:tc>
          <w:tcPr>
            <w:tcW w:w="268" w:type="pct"/>
            <w:vAlign w:val="center"/>
          </w:tcPr>
          <w:p>
            <w:pPr>
              <w:jc w:val="center"/>
              <w:ind w:firstLine="0"/>
            </w:pPr>
          </w:p>
        </w:tc>
        <w:tc>
          <w:tcPr>
            <w:tcW w:w="446" w:type="pct"/>
            <w:vAlign w:val="center"/>
          </w:tcPr>
          <w:p>
            <w:pPr>
              <w:jc w:val="left"/>
              <w:ind w:firstLine="0"/>
            </w:pPr>
          </w:p>
        </w:tc>
        <w:tc>
          <w:tcPr>
            <w:tcW w:w="536" w:type="pct"/>
            <w:vAlign w:val="center"/>
          </w:tcPr>
          <w:p>
            <w:pPr>
              <w:jc w:val="left"/>
              <w:ind w:firstLine="0"/>
            </w:pPr>
          </w:p>
        </w:tc>
        <w:tc>
          <w:tcPr>
            <w:tcW w:w="804" w:type="pct"/>
            <w:vAlign w:val="center"/>
          </w:tcPr>
          <w:p>
            <w:pPr>
              <w:jc w:val="left"/>
              <w:ind w:firstLine="0"/>
            </w:pPr>
          </w:p>
        </w:tc>
        <w:tc>
          <w:tcPr>
            <w:tcW w:w="536" w:type="pct"/>
            <w:vAlign w:val="center"/>
          </w:tcPr>
          <w:p>
            <w:pPr>
              <w:jc w:val="left"/>
              <w:ind w:firstLine="0"/>
            </w:pPr>
          </w:p>
        </w:tc>
        <w:tc>
          <w:tcPr>
            <w:tcW w:w="1161" w:type="pct"/>
            <w:vAlign w:val="center"/>
          </w:tcPr>
          <w:p>
            <w:pPr>
              <w:jc w:val="left"/>
              <w:ind w:firstLine="0"/>
            </w:pPr>
          </w:p>
        </w:tc>
        <w:tc>
          <w:tcPr>
            <w:tcW w:w="1250" w:type="pct"/>
            <w:vAlign w:val="center"/>
          </w:tcPr>
          <w:p>
            <w:pPr>
              <w:jc w:val="left"/>
              <w:ind w:firstLine="0"/>
            </w:pPr>
          </w:p>
        </w:tc>
      </w:tr>
      <w:tr>
        <w:trPr>
          <w:trHeight w:val="397" w:hRule="atLeast"/>
        </w:trPr>
        <w:tc>
          <w:tcPr>
            <w:tcW w:w="268" w:type="pct"/>
            <w:vAlign w:val="center"/>
          </w:tcPr>
          <w:p>
            <w:pPr>
              <w:jc w:val="center"/>
              <w:ind w:firstLine="0"/>
            </w:pPr>
          </w:p>
        </w:tc>
        <w:tc>
          <w:tcPr>
            <w:tcW w:w="446" w:type="pct"/>
            <w:vAlign w:val="center"/>
          </w:tcPr>
          <w:p>
            <w:pPr>
              <w:jc w:val="left"/>
              <w:ind w:firstLine="0"/>
            </w:pPr>
          </w:p>
        </w:tc>
        <w:tc>
          <w:tcPr>
            <w:tcW w:w="536" w:type="pct"/>
            <w:vAlign w:val="center"/>
          </w:tcPr>
          <w:p>
            <w:pPr>
              <w:jc w:val="left"/>
              <w:ind w:firstLine="0"/>
            </w:pPr>
          </w:p>
        </w:tc>
        <w:tc>
          <w:tcPr>
            <w:tcW w:w="804" w:type="pct"/>
            <w:vAlign w:val="center"/>
          </w:tcPr>
          <w:p>
            <w:pPr>
              <w:jc w:val="left"/>
              <w:ind w:firstLine="0"/>
            </w:pPr>
          </w:p>
        </w:tc>
        <w:tc>
          <w:tcPr>
            <w:tcW w:w="536" w:type="pct"/>
            <w:vAlign w:val="center"/>
          </w:tcPr>
          <w:p>
            <w:pPr>
              <w:jc w:val="left"/>
              <w:ind w:firstLine="0"/>
            </w:pPr>
          </w:p>
        </w:tc>
        <w:tc>
          <w:tcPr>
            <w:tcW w:w="1161" w:type="pct"/>
            <w:vAlign w:val="center"/>
          </w:tcPr>
          <w:p>
            <w:pPr>
              <w:jc w:val="left"/>
              <w:ind w:firstLine="0"/>
            </w:pPr>
          </w:p>
        </w:tc>
        <w:tc>
          <w:tcPr>
            <w:tcW w:w="1250" w:type="pct"/>
            <w:vAlign w:val="center"/>
          </w:tcPr>
          <w:p>
            <w:pPr>
              <w:jc w:val="left"/>
              <w:ind w:firstLine="0"/>
            </w:pPr>
          </w:p>
        </w:tc>
      </w:tr>
      <w:tr>
        <w:trPr>
          <w:trHeight w:val="397" w:hRule="atLeast"/>
        </w:trPr>
        <w:tc>
          <w:tcPr>
            <w:tcW w:w="268" w:type="pct"/>
            <w:vAlign w:val="center"/>
          </w:tcPr>
          <w:p>
            <w:pPr>
              <w:jc w:val="center"/>
              <w:ind w:firstLine="0"/>
            </w:pPr>
          </w:p>
        </w:tc>
        <w:tc>
          <w:tcPr>
            <w:tcW w:w="446" w:type="pct"/>
            <w:vAlign w:val="center"/>
          </w:tcPr>
          <w:p>
            <w:pPr>
              <w:jc w:val="left"/>
              <w:ind w:firstLine="0"/>
            </w:pPr>
          </w:p>
        </w:tc>
        <w:tc>
          <w:tcPr>
            <w:tcW w:w="536" w:type="pct"/>
            <w:vAlign w:val="center"/>
          </w:tcPr>
          <w:p>
            <w:pPr>
              <w:jc w:val="left"/>
              <w:ind w:firstLine="0"/>
            </w:pPr>
          </w:p>
        </w:tc>
        <w:tc>
          <w:tcPr>
            <w:tcW w:w="804" w:type="pct"/>
            <w:vAlign w:val="center"/>
          </w:tcPr>
          <w:p>
            <w:pPr>
              <w:jc w:val="left"/>
              <w:ind w:firstLine="0"/>
            </w:pPr>
          </w:p>
        </w:tc>
        <w:tc>
          <w:tcPr>
            <w:tcW w:w="536" w:type="pct"/>
            <w:vAlign w:val="center"/>
          </w:tcPr>
          <w:p>
            <w:pPr>
              <w:jc w:val="left"/>
              <w:ind w:firstLine="0"/>
            </w:pPr>
          </w:p>
        </w:tc>
        <w:tc>
          <w:tcPr>
            <w:tcW w:w="1161" w:type="pct"/>
            <w:vAlign w:val="center"/>
          </w:tcPr>
          <w:p>
            <w:pPr>
              <w:jc w:val="left"/>
              <w:ind w:firstLine="0"/>
            </w:pPr>
          </w:p>
        </w:tc>
        <w:tc>
          <w:tcPr>
            <w:tcW w:w="1250" w:type="pct"/>
            <w:vAlign w:val="center"/>
          </w:tcPr>
          <w:p>
            <w:pPr>
              <w:jc w:val="left"/>
              <w:ind w:firstLine="0"/>
            </w:pPr>
          </w:p>
        </w:tc>
      </w:tr>
      <w:tr>
        <w:trPr>
          <w:trHeight w:val="397" w:hRule="atLeast"/>
        </w:trPr>
        <w:tc>
          <w:tcPr>
            <w:tcW w:w="268" w:type="pct"/>
            <w:vAlign w:val="center"/>
          </w:tcPr>
          <w:p>
            <w:pPr>
              <w:jc w:val="center"/>
              <w:ind w:firstLine="0"/>
            </w:pPr>
          </w:p>
        </w:tc>
        <w:tc>
          <w:tcPr>
            <w:tcW w:w="446" w:type="pct"/>
            <w:vAlign w:val="center"/>
          </w:tcPr>
          <w:p>
            <w:pPr>
              <w:jc w:val="left"/>
              <w:ind w:firstLine="0"/>
            </w:pPr>
          </w:p>
        </w:tc>
        <w:tc>
          <w:tcPr>
            <w:tcW w:w="536" w:type="pct"/>
            <w:vAlign w:val="center"/>
          </w:tcPr>
          <w:p>
            <w:pPr>
              <w:jc w:val="left"/>
              <w:ind w:firstLine="0"/>
            </w:pPr>
          </w:p>
        </w:tc>
        <w:tc>
          <w:tcPr>
            <w:tcW w:w="804" w:type="pct"/>
            <w:vAlign w:val="center"/>
          </w:tcPr>
          <w:p>
            <w:pPr>
              <w:jc w:val="left"/>
              <w:ind w:firstLine="0"/>
            </w:pPr>
          </w:p>
        </w:tc>
        <w:tc>
          <w:tcPr>
            <w:tcW w:w="536" w:type="pct"/>
            <w:vAlign w:val="center"/>
          </w:tcPr>
          <w:p>
            <w:pPr>
              <w:jc w:val="left"/>
              <w:ind w:firstLine="0"/>
            </w:pPr>
          </w:p>
        </w:tc>
        <w:tc>
          <w:tcPr>
            <w:tcW w:w="1161" w:type="pct"/>
            <w:vAlign w:val="center"/>
          </w:tcPr>
          <w:p>
            <w:pPr>
              <w:jc w:val="left"/>
              <w:ind w:firstLine="0"/>
            </w:pPr>
          </w:p>
        </w:tc>
        <w:tc>
          <w:tcPr>
            <w:tcW w:w="1250" w:type="pct"/>
            <w:vAlign w:val="center"/>
          </w:tcPr>
          <w:p>
            <w:pPr>
              <w:jc w:val="left"/>
              <w:ind w:firstLine="0"/>
            </w:pPr>
          </w:p>
        </w:tc>
      </w:tr>
      <w:tr>
        <w:trPr>
          <w:trHeight w:val="397" w:hRule="atLeast"/>
        </w:trPr>
        <w:tc>
          <w:tcPr>
            <w:tcW w:w="268" w:type="pct"/>
            <w:vAlign w:val="center"/>
          </w:tcPr>
          <w:p>
            <w:pPr>
              <w:jc w:val="center"/>
              <w:ind w:firstLine="0"/>
            </w:pPr>
          </w:p>
        </w:tc>
        <w:tc>
          <w:tcPr>
            <w:tcW w:w="446" w:type="pct"/>
            <w:vAlign w:val="center"/>
          </w:tcPr>
          <w:p>
            <w:pPr>
              <w:jc w:val="left"/>
              <w:ind w:firstLine="0"/>
            </w:pPr>
          </w:p>
        </w:tc>
        <w:tc>
          <w:tcPr>
            <w:tcW w:w="536" w:type="pct"/>
            <w:vAlign w:val="center"/>
          </w:tcPr>
          <w:p>
            <w:pPr>
              <w:jc w:val="left"/>
              <w:ind w:firstLine="0"/>
            </w:pPr>
          </w:p>
        </w:tc>
        <w:tc>
          <w:tcPr>
            <w:tcW w:w="804" w:type="pct"/>
            <w:vAlign w:val="center"/>
          </w:tcPr>
          <w:p>
            <w:pPr>
              <w:jc w:val="left"/>
              <w:ind w:firstLine="0"/>
            </w:pPr>
          </w:p>
        </w:tc>
        <w:tc>
          <w:tcPr>
            <w:tcW w:w="536" w:type="pct"/>
            <w:vAlign w:val="center"/>
          </w:tcPr>
          <w:p>
            <w:pPr>
              <w:jc w:val="left"/>
              <w:ind w:firstLine="0"/>
            </w:pPr>
          </w:p>
        </w:tc>
        <w:tc>
          <w:tcPr>
            <w:tcW w:w="1161" w:type="pct"/>
            <w:vAlign w:val="center"/>
          </w:tcPr>
          <w:p>
            <w:pPr>
              <w:jc w:val="left"/>
              <w:ind w:firstLine="0"/>
            </w:pPr>
          </w:p>
        </w:tc>
        <w:tc>
          <w:tcPr>
            <w:tcW w:w="1250" w:type="pct"/>
            <w:vAlign w:val="center"/>
          </w:tcPr>
          <w:p>
            <w:pPr>
              <w:jc w:val="left"/>
              <w:ind w:firstLine="0"/>
            </w:pPr>
          </w:p>
        </w:tc>
      </w:tr>
      <w:tr>
        <w:trPr>
          <w:trHeight w:val="397" w:hRule="atLeast"/>
        </w:trPr>
        <w:tc>
          <w:tcPr>
            <w:tcW w:w="268" w:type="pct"/>
            <w:vAlign w:val="center"/>
          </w:tcPr>
          <w:p>
            <w:pPr>
              <w:jc w:val="center"/>
              <w:ind w:firstLine="0"/>
            </w:pPr>
          </w:p>
        </w:tc>
        <w:tc>
          <w:tcPr>
            <w:tcW w:w="446" w:type="pct"/>
            <w:vAlign w:val="center"/>
          </w:tcPr>
          <w:p>
            <w:pPr>
              <w:jc w:val="left"/>
              <w:ind w:firstLine="0"/>
            </w:pPr>
          </w:p>
        </w:tc>
        <w:tc>
          <w:tcPr>
            <w:tcW w:w="536" w:type="pct"/>
            <w:vAlign w:val="center"/>
          </w:tcPr>
          <w:p>
            <w:pPr>
              <w:jc w:val="left"/>
              <w:ind w:firstLine="0"/>
            </w:pPr>
          </w:p>
        </w:tc>
        <w:tc>
          <w:tcPr>
            <w:tcW w:w="804" w:type="pct"/>
            <w:vAlign w:val="center"/>
          </w:tcPr>
          <w:p>
            <w:pPr>
              <w:jc w:val="left"/>
              <w:ind w:firstLine="0"/>
            </w:pPr>
          </w:p>
        </w:tc>
        <w:tc>
          <w:tcPr>
            <w:tcW w:w="536" w:type="pct"/>
            <w:vAlign w:val="center"/>
          </w:tcPr>
          <w:p>
            <w:pPr>
              <w:jc w:val="left"/>
              <w:ind w:firstLine="0"/>
            </w:pPr>
          </w:p>
        </w:tc>
        <w:tc>
          <w:tcPr>
            <w:tcW w:w="1161" w:type="pct"/>
            <w:vAlign w:val="center"/>
          </w:tcPr>
          <w:p>
            <w:pPr>
              <w:jc w:val="left"/>
              <w:ind w:firstLine="0"/>
            </w:pPr>
          </w:p>
        </w:tc>
        <w:tc>
          <w:tcPr>
            <w:tcW w:w="1250" w:type="pct"/>
            <w:vAlign w:val="center"/>
          </w:tcPr>
          <w:p>
            <w:pPr>
              <w:jc w:val="left"/>
              <w:ind w:firstLine="0"/>
            </w:pPr>
          </w:p>
        </w:tc>
      </w:tr>
      <w:tr>
        <w:trPr>
          <w:trHeight w:val="397" w:hRule="atLeast"/>
        </w:trPr>
        <w:tc>
          <w:tcPr>
            <w:tcW w:w="268" w:type="pct"/>
            <w:vAlign w:val="center"/>
          </w:tcPr>
          <w:p>
            <w:pPr>
              <w:jc w:val="center"/>
              <w:ind w:firstLine="0"/>
            </w:pPr>
          </w:p>
        </w:tc>
        <w:tc>
          <w:tcPr>
            <w:tcW w:w="446" w:type="pct"/>
            <w:vAlign w:val="center"/>
          </w:tcPr>
          <w:p>
            <w:pPr>
              <w:jc w:val="left"/>
              <w:ind w:firstLine="0"/>
            </w:pPr>
          </w:p>
        </w:tc>
        <w:tc>
          <w:tcPr>
            <w:tcW w:w="536" w:type="pct"/>
            <w:vAlign w:val="center"/>
          </w:tcPr>
          <w:p>
            <w:pPr>
              <w:jc w:val="left"/>
              <w:ind w:firstLine="0"/>
            </w:pPr>
          </w:p>
        </w:tc>
        <w:tc>
          <w:tcPr>
            <w:tcW w:w="804" w:type="pct"/>
            <w:vAlign w:val="center"/>
          </w:tcPr>
          <w:p>
            <w:pPr>
              <w:jc w:val="left"/>
              <w:ind w:firstLine="0"/>
            </w:pPr>
          </w:p>
        </w:tc>
        <w:tc>
          <w:tcPr>
            <w:tcW w:w="536" w:type="pct"/>
            <w:vAlign w:val="center"/>
          </w:tcPr>
          <w:p>
            <w:pPr>
              <w:jc w:val="left"/>
              <w:ind w:firstLine="0"/>
            </w:pPr>
          </w:p>
        </w:tc>
        <w:tc>
          <w:tcPr>
            <w:tcW w:w="1161" w:type="pct"/>
            <w:vAlign w:val="center"/>
          </w:tcPr>
          <w:p>
            <w:pPr>
              <w:jc w:val="left"/>
              <w:ind w:firstLine="0"/>
            </w:pPr>
          </w:p>
        </w:tc>
        <w:tc>
          <w:tcPr>
            <w:tcW w:w="1250" w:type="pct"/>
            <w:vAlign w:val="center"/>
          </w:tcPr>
          <w:p>
            <w:pPr>
              <w:jc w:val="left"/>
              <w:ind w:firstLine="0"/>
            </w:pPr>
          </w:p>
        </w:tc>
      </w:tr>
      <w:tr>
        <w:trPr>
          <w:trHeight w:val="397" w:hRule="atLeast"/>
        </w:trPr>
        <w:tc>
          <w:tcPr>
            <w:tcW w:w="268" w:type="pct"/>
            <w:vAlign w:val="center"/>
          </w:tcPr>
          <w:p>
            <w:pPr>
              <w:jc w:val="center"/>
              <w:ind w:firstLine="0"/>
            </w:pPr>
          </w:p>
        </w:tc>
        <w:tc>
          <w:tcPr>
            <w:tcW w:w="446" w:type="pct"/>
            <w:vAlign w:val="center"/>
          </w:tcPr>
          <w:p>
            <w:pPr>
              <w:jc w:val="left"/>
              <w:ind w:firstLine="0"/>
            </w:pPr>
          </w:p>
        </w:tc>
        <w:tc>
          <w:tcPr>
            <w:tcW w:w="536" w:type="pct"/>
            <w:vAlign w:val="center"/>
          </w:tcPr>
          <w:p>
            <w:pPr>
              <w:jc w:val="left"/>
              <w:ind w:firstLine="0"/>
            </w:pPr>
          </w:p>
        </w:tc>
        <w:tc>
          <w:tcPr>
            <w:tcW w:w="804" w:type="pct"/>
            <w:vAlign w:val="center"/>
          </w:tcPr>
          <w:p>
            <w:pPr>
              <w:jc w:val="left"/>
              <w:ind w:firstLine="0"/>
            </w:pPr>
          </w:p>
        </w:tc>
        <w:tc>
          <w:tcPr>
            <w:tcW w:w="536" w:type="pct"/>
            <w:vAlign w:val="center"/>
          </w:tcPr>
          <w:p>
            <w:pPr>
              <w:jc w:val="left"/>
              <w:ind w:firstLine="0"/>
            </w:pPr>
          </w:p>
        </w:tc>
        <w:tc>
          <w:tcPr>
            <w:tcW w:w="1161" w:type="pct"/>
            <w:vAlign w:val="center"/>
          </w:tcPr>
          <w:p>
            <w:pPr>
              <w:jc w:val="left"/>
              <w:ind w:firstLine="0"/>
            </w:pPr>
          </w:p>
        </w:tc>
        <w:tc>
          <w:tcPr>
            <w:tcW w:w="1250" w:type="pct"/>
            <w:vAlign w:val="center"/>
          </w:tcPr>
          <w:p>
            <w:pPr>
              <w:jc w:val="left"/>
              <w:ind w:firstLine="0"/>
            </w:pPr>
          </w:p>
        </w:tc>
      </w:tr>
    </w:tbl>
    <w:p/>
    <w:p>
      <w:pPr>
        <w:ind w:firstLine="425"/>
      </w:pPr>
      <w:r>
        <w:t xml:space="preserve">В графе «Начислено / оплачено, руб.» через дробь указываются начисленная за месяц сумма и фактически внесённая оплата; графа «Задолженность, руб.» — разница между ними нарастающим итогом.</w:t>
      </w:r>
    </w:p>
    <w:p>
      <w:pPr>
        <w:ind w:firstLine="425"/>
      </w:pPr>
      <w:r>
        <w:t xml:space="preserve">Итого задолженность за период ______: ______ рублей.</w:t>
      </w:r>
    </w:p>
    <w:p>
      <w:pPr>
        <w:ind w:firstLine="425"/>
      </w:pPr>
      <w:r>
        <w:t xml:space="preserve">Сумма перерасчёта за период ______: ______ рублей.</w:t>
      </w:r>
    </w:p>
    <w:p>
      <w:pPr>
        <w:pageBreakBefore/>
      </w:pPr>
    </w:p>
    <w:p>
      <w:pPr>
        <w:jc w:val="right"/>
      </w:pPr>
      <w:r>
        <w:rPr>
          <w:b/>
        </w:rPr>
        <w:t xml:space="preserve">Приложение № 3 к документу</w:t>
      </w:r>
    </w:p>
    <w:p>
      <w:pPr>
        <w:pStyle w:val="DocTitle"/>
      </w:pPr>
      <w:r>
        <w:t xml:space="preserve">Расчёт пеней за просрочку платежей</w:t>
      </w:r>
    </w:p>
    <w:p>
      <w:pPr>
        <w:ind w:firstLine="425"/>
      </w:pPr>
      <w:r>
        <w:t xml:space="preserve">Пени начислены на суммы, не внесённые в срок, начиная с тридцать первого дня после наступления срока платежа, по состоянию на ______.</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615"/>
        <w:gridCol w:w="1846"/>
        <w:gridCol w:w="1846"/>
        <w:gridCol w:w="1846"/>
        <w:gridCol w:w="1231"/>
        <w:gridCol w:w="2256"/>
      </w:tblGrid>
      <w:tr>
        <w:tc>
          <w:tcPr>
            <w:tcW w:w="319" w:type="pct"/>
            <w:vAlign w:val="center"/>
          </w:tcPr>
          <w:p>
            <w:pPr>
              <w:jc w:val="center"/>
              <w:ind w:firstLine="0"/>
            </w:pPr>
            <w:r>
              <w:rPr>
                <w:b/>
              </w:rPr>
              <w:t xml:space="preserve">№</w:t>
            </w:r>
          </w:p>
        </w:tc>
        <w:tc>
          <w:tcPr>
            <w:tcW w:w="957" w:type="pct"/>
            <w:vAlign w:val="center"/>
          </w:tcPr>
          <w:p>
            <w:pPr>
              <w:jc w:val="center"/>
              <w:ind w:firstLine="0"/>
            </w:pPr>
            <w:r>
              <w:rPr>
                <w:b/>
              </w:rPr>
              <w:t xml:space="preserve">Период просрочки</w:t>
            </w:r>
          </w:p>
        </w:tc>
        <w:tc>
          <w:tcPr>
            <w:tcW w:w="957" w:type="pct"/>
            <w:vAlign w:val="center"/>
          </w:tcPr>
          <w:p>
            <w:pPr>
              <w:jc w:val="center"/>
              <w:ind w:firstLine="0"/>
            </w:pPr>
            <w:r>
              <w:rPr>
                <w:b/>
              </w:rPr>
              <w:t xml:space="preserve">Сумма долга, руб.</w:t>
            </w:r>
          </w:p>
        </w:tc>
        <w:tc>
          <w:tcPr>
            <w:tcW w:w="957" w:type="pct"/>
            <w:vAlign w:val="center"/>
          </w:tcPr>
          <w:p>
            <w:pPr>
              <w:jc w:val="center"/>
              <w:ind w:firstLine="0"/>
            </w:pPr>
            <w:r>
              <w:rPr>
                <w:b/>
              </w:rPr>
              <w:t xml:space="preserve">Дней просрочки</w:t>
            </w:r>
          </w:p>
        </w:tc>
        <w:tc>
          <w:tcPr>
            <w:tcW w:w="638" w:type="pct"/>
            <w:vAlign w:val="center"/>
          </w:tcPr>
          <w:p>
            <w:pPr>
              <w:jc w:val="center"/>
              <w:ind w:firstLine="0"/>
            </w:pPr>
            <w:r>
              <w:rPr>
                <w:b/>
              </w:rPr>
              <w:t xml:space="preserve">Ставка</w:t>
            </w:r>
          </w:p>
        </w:tc>
        <w:tc>
          <w:tcPr>
            <w:tcW w:w="1170" w:type="pct"/>
            <w:vAlign w:val="center"/>
          </w:tcPr>
          <w:p>
            <w:pPr>
              <w:jc w:val="center"/>
              <w:ind w:firstLine="0"/>
            </w:pPr>
            <w:r>
              <w:rPr>
                <w:b/>
              </w:rPr>
              <w:t xml:space="preserve">Начислено пеней, руб.</w:t>
            </w:r>
          </w:p>
        </w:tc>
      </w:tr>
      <w:tr>
        <w:trPr>
          <w:trHeight w:val="397" w:hRule="atLeast"/>
        </w:trPr>
        <w:tc>
          <w:tcPr>
            <w:tcW w:w="319" w:type="pct"/>
            <w:vAlign w:val="center"/>
          </w:tcPr>
          <w:p>
            <w:pPr>
              <w:jc w:val="center"/>
              <w:ind w:firstLine="0"/>
            </w:pPr>
          </w:p>
        </w:tc>
        <w:tc>
          <w:tcPr>
            <w:tcW w:w="957" w:type="pct"/>
            <w:vAlign w:val="center"/>
          </w:tcPr>
          <w:p>
            <w:pPr>
              <w:jc w:val="left"/>
              <w:ind w:firstLine="0"/>
            </w:pPr>
          </w:p>
        </w:tc>
        <w:tc>
          <w:tcPr>
            <w:tcW w:w="957" w:type="pct"/>
            <w:vAlign w:val="center"/>
          </w:tcPr>
          <w:p>
            <w:pPr>
              <w:jc w:val="left"/>
              <w:ind w:firstLine="0"/>
            </w:pPr>
          </w:p>
        </w:tc>
        <w:tc>
          <w:tcPr>
            <w:tcW w:w="957" w:type="pct"/>
            <w:vAlign w:val="center"/>
          </w:tcPr>
          <w:p>
            <w:pPr>
              <w:jc w:val="left"/>
              <w:ind w:firstLine="0"/>
            </w:pPr>
          </w:p>
        </w:tc>
        <w:tc>
          <w:tcPr>
            <w:tcW w:w="638"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957" w:type="pct"/>
            <w:vAlign w:val="center"/>
          </w:tcPr>
          <w:p>
            <w:pPr>
              <w:jc w:val="left"/>
              <w:ind w:firstLine="0"/>
            </w:pPr>
          </w:p>
        </w:tc>
        <w:tc>
          <w:tcPr>
            <w:tcW w:w="957" w:type="pct"/>
            <w:vAlign w:val="center"/>
          </w:tcPr>
          <w:p>
            <w:pPr>
              <w:jc w:val="left"/>
              <w:ind w:firstLine="0"/>
            </w:pPr>
          </w:p>
        </w:tc>
        <w:tc>
          <w:tcPr>
            <w:tcW w:w="957" w:type="pct"/>
            <w:vAlign w:val="center"/>
          </w:tcPr>
          <w:p>
            <w:pPr>
              <w:jc w:val="left"/>
              <w:ind w:firstLine="0"/>
            </w:pPr>
          </w:p>
        </w:tc>
        <w:tc>
          <w:tcPr>
            <w:tcW w:w="638"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957" w:type="pct"/>
            <w:vAlign w:val="center"/>
          </w:tcPr>
          <w:p>
            <w:pPr>
              <w:jc w:val="left"/>
              <w:ind w:firstLine="0"/>
            </w:pPr>
          </w:p>
        </w:tc>
        <w:tc>
          <w:tcPr>
            <w:tcW w:w="957" w:type="pct"/>
            <w:vAlign w:val="center"/>
          </w:tcPr>
          <w:p>
            <w:pPr>
              <w:jc w:val="left"/>
              <w:ind w:firstLine="0"/>
            </w:pPr>
          </w:p>
        </w:tc>
        <w:tc>
          <w:tcPr>
            <w:tcW w:w="957" w:type="pct"/>
            <w:vAlign w:val="center"/>
          </w:tcPr>
          <w:p>
            <w:pPr>
              <w:jc w:val="left"/>
              <w:ind w:firstLine="0"/>
            </w:pPr>
          </w:p>
        </w:tc>
        <w:tc>
          <w:tcPr>
            <w:tcW w:w="638"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957" w:type="pct"/>
            <w:vAlign w:val="center"/>
          </w:tcPr>
          <w:p>
            <w:pPr>
              <w:jc w:val="left"/>
              <w:ind w:firstLine="0"/>
            </w:pPr>
          </w:p>
        </w:tc>
        <w:tc>
          <w:tcPr>
            <w:tcW w:w="957" w:type="pct"/>
            <w:vAlign w:val="center"/>
          </w:tcPr>
          <w:p>
            <w:pPr>
              <w:jc w:val="left"/>
              <w:ind w:firstLine="0"/>
            </w:pPr>
          </w:p>
        </w:tc>
        <w:tc>
          <w:tcPr>
            <w:tcW w:w="957" w:type="pct"/>
            <w:vAlign w:val="center"/>
          </w:tcPr>
          <w:p>
            <w:pPr>
              <w:jc w:val="left"/>
              <w:ind w:firstLine="0"/>
            </w:pPr>
          </w:p>
        </w:tc>
        <w:tc>
          <w:tcPr>
            <w:tcW w:w="638"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957" w:type="pct"/>
            <w:vAlign w:val="center"/>
          </w:tcPr>
          <w:p>
            <w:pPr>
              <w:jc w:val="left"/>
              <w:ind w:firstLine="0"/>
            </w:pPr>
          </w:p>
        </w:tc>
        <w:tc>
          <w:tcPr>
            <w:tcW w:w="957" w:type="pct"/>
            <w:vAlign w:val="center"/>
          </w:tcPr>
          <w:p>
            <w:pPr>
              <w:jc w:val="left"/>
              <w:ind w:firstLine="0"/>
            </w:pPr>
          </w:p>
        </w:tc>
        <w:tc>
          <w:tcPr>
            <w:tcW w:w="957" w:type="pct"/>
            <w:vAlign w:val="center"/>
          </w:tcPr>
          <w:p>
            <w:pPr>
              <w:jc w:val="left"/>
              <w:ind w:firstLine="0"/>
            </w:pPr>
          </w:p>
        </w:tc>
        <w:tc>
          <w:tcPr>
            <w:tcW w:w="638"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957" w:type="pct"/>
            <w:vAlign w:val="center"/>
          </w:tcPr>
          <w:p>
            <w:pPr>
              <w:jc w:val="left"/>
              <w:ind w:firstLine="0"/>
            </w:pPr>
          </w:p>
        </w:tc>
        <w:tc>
          <w:tcPr>
            <w:tcW w:w="957" w:type="pct"/>
            <w:vAlign w:val="center"/>
          </w:tcPr>
          <w:p>
            <w:pPr>
              <w:jc w:val="left"/>
              <w:ind w:firstLine="0"/>
            </w:pPr>
          </w:p>
        </w:tc>
        <w:tc>
          <w:tcPr>
            <w:tcW w:w="957" w:type="pct"/>
            <w:vAlign w:val="center"/>
          </w:tcPr>
          <w:p>
            <w:pPr>
              <w:jc w:val="left"/>
              <w:ind w:firstLine="0"/>
            </w:pPr>
          </w:p>
        </w:tc>
        <w:tc>
          <w:tcPr>
            <w:tcW w:w="638"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957" w:type="pct"/>
            <w:vAlign w:val="center"/>
          </w:tcPr>
          <w:p>
            <w:pPr>
              <w:jc w:val="left"/>
              <w:ind w:firstLine="0"/>
            </w:pPr>
          </w:p>
        </w:tc>
        <w:tc>
          <w:tcPr>
            <w:tcW w:w="957" w:type="pct"/>
            <w:vAlign w:val="center"/>
          </w:tcPr>
          <w:p>
            <w:pPr>
              <w:jc w:val="left"/>
              <w:ind w:firstLine="0"/>
            </w:pPr>
          </w:p>
        </w:tc>
        <w:tc>
          <w:tcPr>
            <w:tcW w:w="957" w:type="pct"/>
            <w:vAlign w:val="center"/>
          </w:tcPr>
          <w:p>
            <w:pPr>
              <w:jc w:val="left"/>
              <w:ind w:firstLine="0"/>
            </w:pPr>
          </w:p>
        </w:tc>
        <w:tc>
          <w:tcPr>
            <w:tcW w:w="638"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957" w:type="pct"/>
            <w:vAlign w:val="center"/>
          </w:tcPr>
          <w:p>
            <w:pPr>
              <w:jc w:val="left"/>
              <w:ind w:firstLine="0"/>
            </w:pPr>
          </w:p>
        </w:tc>
        <w:tc>
          <w:tcPr>
            <w:tcW w:w="957" w:type="pct"/>
            <w:vAlign w:val="center"/>
          </w:tcPr>
          <w:p>
            <w:pPr>
              <w:jc w:val="left"/>
              <w:ind w:firstLine="0"/>
            </w:pPr>
          </w:p>
        </w:tc>
        <w:tc>
          <w:tcPr>
            <w:tcW w:w="957" w:type="pct"/>
            <w:vAlign w:val="center"/>
          </w:tcPr>
          <w:p>
            <w:pPr>
              <w:jc w:val="left"/>
              <w:ind w:firstLine="0"/>
            </w:pPr>
          </w:p>
        </w:tc>
        <w:tc>
          <w:tcPr>
            <w:tcW w:w="638"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957" w:type="pct"/>
            <w:vAlign w:val="center"/>
          </w:tcPr>
          <w:p>
            <w:pPr>
              <w:jc w:val="left"/>
              <w:ind w:firstLine="0"/>
            </w:pPr>
          </w:p>
        </w:tc>
        <w:tc>
          <w:tcPr>
            <w:tcW w:w="957" w:type="pct"/>
            <w:vAlign w:val="center"/>
          </w:tcPr>
          <w:p>
            <w:pPr>
              <w:jc w:val="left"/>
              <w:ind w:firstLine="0"/>
            </w:pPr>
          </w:p>
        </w:tc>
        <w:tc>
          <w:tcPr>
            <w:tcW w:w="957" w:type="pct"/>
            <w:vAlign w:val="center"/>
          </w:tcPr>
          <w:p>
            <w:pPr>
              <w:jc w:val="left"/>
              <w:ind w:firstLine="0"/>
            </w:pPr>
          </w:p>
        </w:tc>
        <w:tc>
          <w:tcPr>
            <w:tcW w:w="638"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957" w:type="pct"/>
            <w:vAlign w:val="center"/>
          </w:tcPr>
          <w:p>
            <w:pPr>
              <w:jc w:val="left"/>
              <w:ind w:firstLine="0"/>
            </w:pPr>
          </w:p>
        </w:tc>
        <w:tc>
          <w:tcPr>
            <w:tcW w:w="957" w:type="pct"/>
            <w:vAlign w:val="center"/>
          </w:tcPr>
          <w:p>
            <w:pPr>
              <w:jc w:val="left"/>
              <w:ind w:firstLine="0"/>
            </w:pPr>
          </w:p>
        </w:tc>
        <w:tc>
          <w:tcPr>
            <w:tcW w:w="957" w:type="pct"/>
            <w:vAlign w:val="center"/>
          </w:tcPr>
          <w:p>
            <w:pPr>
              <w:jc w:val="left"/>
              <w:ind w:firstLine="0"/>
            </w:pPr>
          </w:p>
        </w:tc>
        <w:tc>
          <w:tcPr>
            <w:tcW w:w="638"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957" w:type="pct"/>
            <w:vAlign w:val="center"/>
          </w:tcPr>
          <w:p>
            <w:pPr>
              <w:jc w:val="left"/>
              <w:ind w:firstLine="0"/>
            </w:pPr>
          </w:p>
        </w:tc>
        <w:tc>
          <w:tcPr>
            <w:tcW w:w="957" w:type="pct"/>
            <w:vAlign w:val="center"/>
          </w:tcPr>
          <w:p>
            <w:pPr>
              <w:jc w:val="left"/>
              <w:ind w:firstLine="0"/>
            </w:pPr>
          </w:p>
        </w:tc>
        <w:tc>
          <w:tcPr>
            <w:tcW w:w="957" w:type="pct"/>
            <w:vAlign w:val="center"/>
          </w:tcPr>
          <w:p>
            <w:pPr>
              <w:jc w:val="left"/>
              <w:ind w:firstLine="0"/>
            </w:pPr>
          </w:p>
        </w:tc>
        <w:tc>
          <w:tcPr>
            <w:tcW w:w="638"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957" w:type="pct"/>
            <w:vAlign w:val="center"/>
          </w:tcPr>
          <w:p>
            <w:pPr>
              <w:jc w:val="left"/>
              <w:ind w:firstLine="0"/>
            </w:pPr>
          </w:p>
        </w:tc>
        <w:tc>
          <w:tcPr>
            <w:tcW w:w="957" w:type="pct"/>
            <w:vAlign w:val="center"/>
          </w:tcPr>
          <w:p>
            <w:pPr>
              <w:jc w:val="left"/>
              <w:ind w:firstLine="0"/>
            </w:pPr>
          </w:p>
        </w:tc>
        <w:tc>
          <w:tcPr>
            <w:tcW w:w="957" w:type="pct"/>
            <w:vAlign w:val="center"/>
          </w:tcPr>
          <w:p>
            <w:pPr>
              <w:jc w:val="left"/>
              <w:ind w:firstLine="0"/>
            </w:pPr>
          </w:p>
        </w:tc>
        <w:tc>
          <w:tcPr>
            <w:tcW w:w="638"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957" w:type="pct"/>
            <w:vAlign w:val="center"/>
          </w:tcPr>
          <w:p>
            <w:pPr>
              <w:jc w:val="left"/>
              <w:ind w:firstLine="0"/>
            </w:pPr>
          </w:p>
        </w:tc>
        <w:tc>
          <w:tcPr>
            <w:tcW w:w="957" w:type="pct"/>
            <w:vAlign w:val="center"/>
          </w:tcPr>
          <w:p>
            <w:pPr>
              <w:jc w:val="left"/>
              <w:ind w:firstLine="0"/>
            </w:pPr>
          </w:p>
        </w:tc>
        <w:tc>
          <w:tcPr>
            <w:tcW w:w="957" w:type="pct"/>
            <w:vAlign w:val="center"/>
          </w:tcPr>
          <w:p>
            <w:pPr>
              <w:jc w:val="left"/>
              <w:ind w:firstLine="0"/>
            </w:pPr>
          </w:p>
        </w:tc>
        <w:tc>
          <w:tcPr>
            <w:tcW w:w="638"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957" w:type="pct"/>
            <w:vAlign w:val="center"/>
          </w:tcPr>
          <w:p>
            <w:pPr>
              <w:jc w:val="left"/>
              <w:ind w:firstLine="0"/>
            </w:pPr>
          </w:p>
        </w:tc>
        <w:tc>
          <w:tcPr>
            <w:tcW w:w="957" w:type="pct"/>
            <w:vAlign w:val="center"/>
          </w:tcPr>
          <w:p>
            <w:pPr>
              <w:jc w:val="left"/>
              <w:ind w:firstLine="0"/>
            </w:pPr>
          </w:p>
        </w:tc>
        <w:tc>
          <w:tcPr>
            <w:tcW w:w="957" w:type="pct"/>
            <w:vAlign w:val="center"/>
          </w:tcPr>
          <w:p>
            <w:pPr>
              <w:jc w:val="left"/>
              <w:ind w:firstLine="0"/>
            </w:pPr>
          </w:p>
        </w:tc>
        <w:tc>
          <w:tcPr>
            <w:tcW w:w="638" w:type="pct"/>
            <w:vAlign w:val="center"/>
          </w:tcPr>
          <w:p>
            <w:pPr>
              <w:jc w:val="left"/>
              <w:ind w:firstLine="0"/>
            </w:pPr>
          </w:p>
        </w:tc>
        <w:tc>
          <w:tcPr>
            <w:tcW w:w="1170" w:type="pct"/>
            <w:vAlign w:val="center"/>
          </w:tcPr>
          <w:p>
            <w:pPr>
              <w:jc w:val="left"/>
              <w:ind w:firstLine="0"/>
            </w:pPr>
          </w:p>
        </w:tc>
      </w:tr>
    </w:tbl>
    <w:p/>
    <w:p>
      <w:pPr>
        <w:ind w:firstLine="425"/>
      </w:pPr>
      <w:r>
        <w:t xml:space="preserve">Итого пеней: ______ рублей.</w:t>
      </w:r>
    </w:p>
    <w:p>
      <w:pPr>
        <w:ind w:firstLine="425"/>
      </w:pPr>
      <w:r>
        <w:t xml:space="preserve">Начисление продолжается по день фактической уплаты задолженности.</w:t>
      </w:r>
    </w:p>
    <w:p>
      <w:pPr>
        <w:pStyle w:val="ClauseHeading"/>
      </w:pPr>
      <w:r>
        <w:rPr>
          <w:b/>
        </w:rPr>
        <w:t xml:space="preserve">20. Реквизиты и подпись</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Истец</w:t>
            </w:r>
          </w:p>
          <w:p>
            <w:pPr>
              <w:jc w:val="left"/>
            </w:pPr>
            <w:r>
              <w:t xml:space="preserve">__________</w:t>
              <w:br/>
              <w:t xml:space="preserve"/>
              <w:br/>
              <w:t xml:space="preserve">Дата рождения: __________</w:t>
              <w:br/>
              <w:t xml:space="preserve"/>
              <w:br/>
              <w:t xml:space="preserve">Паспорт: __________, выдан __________ __________</w:t>
              <w:br/>
              <w:t xml:space="preserve"/>
              <w:br/>
              <w:t xml:space="preserve">Адрес места жительства: __________</w:t>
            </w:r>
          </w:p>
          <w:p>
            <w:pPr>
              <w:jc w:val="left"/>
            </w:pPr>
            <w:r>
              <w:t xml:space="preserve">Истец ____________ / ________</w:t>
            </w:r>
          </w:p>
        </w:tc>
        <w:tc>
          <w:tcPr>
            <w:tcW w:w="4820" w:type="dxa"/>
          </w:tcPr>
          <w:p/>
        </w:tc>
      </w:tr>
    </w:tbl>
    <w:p/>
    <w:p>
      <w:pPr>
        <w:spacing w:before="360"/>
        <w:pBdr>
          <w:top w:val="single" w:sz="4" w:space="6" w:color="CCCCCC"/>
        </w:pBdr>
        <w:jc w:val="left"/>
      </w:pPr>
      <w:r>
        <w:rPr>
          <w:i/>
          <w:sz w:val="16"/>
          <w:color w:val="808080"/>
        </w:rPr>
        <w:t xml:space="preserve">Пустой бланк «Исковое заявление по спорам с управляющей организацией (УК, ТСЖ, ЖСК)» с сайта primadoc.ru. Документ, заполненный под вашу ситуацию, собирается в конструкторе: https://primadoc.ru/doc/iskovoe-zayavlenie-po-sporam-s-upravlyayuschey-organizaciey-uk-tszh-zhsk</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Исковое заявление по спорам с управляющей организацией (УК, ТСЖ, ЖСК) — пустой бланк</dc:title>
  <dc:creator>Примадок</dc:creator>
  <dcterms:created xsi:type="dcterms:W3CDTF">2026-09-13T13:21:22Z</dcterms:created>
</cp:coreProperties>
</file>