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В Пресненский районный суд города Москвы.</w:t>
      </w:r>
    </w:p>
    <w:p>
      <w:pPr>
        <w:ind w:left="4820"/>
        <w:jc w:val="left"/>
      </w:pPr>
      <w:r>
        <w:t xml:space="preserve">Истец: Иванов Иван Иванович; адрес, телефон и идентификатор указаны в реквизитах истца.</w:t>
      </w:r>
    </w:p>
    <w:p>
      <w:pPr>
        <w:ind w:left="4820"/>
        <w:jc w:val="left"/>
      </w:pPr>
      <w:r>
        <w:t xml:space="preserve">Ответчик: Соколова Мария Петровна (Наследник, принявший наследство), адрес: 123001, г. Москва, ул. Садовая-Кудринская, д. 7, кв. 14, идентификатор: паспорт 45 08 123456, СНИЛС 112-233-445 55, телефон и электронная почта: +7 916 123-45-67, sokolova@mail.ru.</w:t>
      </w:r>
    </w:p>
    <w:p>
      <w:pPr>
        <w:ind w:left="4820"/>
        <w:jc w:val="left"/>
      </w:pPr>
      <w:r>
        <w:t xml:space="preserve">Третьи лица, не заявляющие самостоятельных требований относительно предмета спора: нотариус города Москвы Иванова А. С., Управление Росреестра по г. Москве.</w:t>
      </w:r>
    </w:p>
    <w:p>
      <w:pPr>
        <w:ind w:left="4820"/>
        <w:jc w:val="left"/>
      </w:pPr>
      <w:r>
        <w:t xml:space="preserve">Цена иска: 4200000 рублей. Государственная пошлина: 29200 рублей — Уплачена, квитанция прилагается.</w:t>
      </w:r>
    </w:p>
    <w:p>
      <w:pPr>
        <w:ind w:left="4820"/>
        <w:jc w:val="left"/>
      </w:pPr>
      <w:r>
        <w:t xml:space="preserve">Сведения о сторонах, цене иска и перечень прилагаемых документов приводятся в заявлении в силу требований к его форме и содержанию (ст. 131 ГПК).</w:t>
      </w:r>
    </w:p>
    <w:p>
      <w:pPr>
        <w:pStyle w:val="DocTitle"/>
      </w:pPr>
      <w:r>
        <w:t xml:space="preserve">ИСКОВОЕ ЗАЯВЛЕНИЕ по наследственному спору</w:t>
      </w:r>
    </w:p>
    <w:p>
      <w:pPr>
        <w:jc w:val="center"/>
        <w:spacing w:after="160"/>
      </w:pPr>
      <w:r>
        <w:t xml:space="preserve">{{field.claim_subject}}</w:t>
      </w:r>
    </w:p>
    <w:p>
      <w:pPr>
        <w:tabs>
          <w:tab w:val="right" w:pos="9639"/>
        </w:tabs>
        <w:spacing w:after="240"/>
      </w:pPr>
      <w:r>
        <w:t xml:space="preserve">г. Москва</w:t>
      </w:r>
      <w:r>
        <w:tab/>
        <w:t xml:space="preserve">«12» марта 2026 г.</w:t>
      </w:r>
    </w:p>
    <w:p>
      <w:pPr>
        <w:pStyle w:val="ClauseHeading"/>
      </w:pPr>
      <w:r>
        <w:rPr>
          <w:b/>
        </w:rPr>
        <w:t xml:space="preserve">1. Обстоятельства дела</w:t>
      </w:r>
    </w:p>
    <w:p>
      <w:pPr>
        <w:ind w:firstLine="425"/>
      </w:pPr>
      <w:r>
        <w:t xml:space="preserve">1.1. 14.03.2025 умер(ла) Соколов Пётр Иванович, последнее место жительства — г. Москва, ул. Малая Бронная, д. 12, кв. 8. Факт смерти подтверждается свидетельством о смерти: серия IX-МЮ № 654321, выдано Тверским отделом ЗАГС г. Москвы 18.03.2025.</w:t>
      </w:r>
    </w:p>
    <w:p>
      <w:pPr>
        <w:ind w:firstLine="425"/>
      </w:pPr>
      <w:r>
        <w:t xml:space="preserve">1.2. Наследство открывается со смертью гражданина, а днём открытия наследства является день смерти наследодателя (ст. 1113 ГК).</w:t>
      </w:r>
    </w:p>
    <w:p>
      <w:pPr>
        <w:ind w:firstLine="425"/>
      </w:pPr>
      <w:r>
        <w:t xml:space="preserve">1.3. После смерти наследодателя открылось наследство в виде следующего имущества: квартира площадью 54,2 кв. м, автомобиль Kia Rio 2019 года выпуска, денежные вклады в ПАО Сбербанк, доля 40 процентов в уставном капитале ООО «Лотос».</w:t>
      </w:r>
    </w:p>
    <w:p>
      <w:pPr>
        <w:ind w:firstLine="425"/>
      </w:pPr>
      <w:r>
        <w:t xml:space="preserve">1.4. Стоимость наследственного имущества на день открытия наследства составляет 8400000 рублей и подтверждается приложенными документами об оценке.</w:t>
      </w:r>
    </w:p>
    <w:p>
      <w:pPr>
        <w:ind w:firstLine="425"/>
      </w:pPr>
      <w:r>
        <w:t xml:space="preserve">1.5. В состав наследства входит недвижимое имущество: квартира по адресу: г. Москва, ул. Малая Бронная, д. 12, кв. 8, площадь 54,2 кв. м, кадастровый номер 77:01:0001042:3456.</w:t>
      </w:r>
    </w:p>
    <w:p>
      <w:pPr>
        <w:ind w:firstLine="425"/>
      </w:pPr>
      <w:r>
        <w:t xml:space="preserve">1.6. Состав наследственной массы и распределение долей приведены в Приложение № 2.</w:t>
      </w:r>
    </w:p>
    <w:p>
      <w:pPr>
        <w:pStyle w:val="ClauseHeading"/>
      </w:pPr>
      <w:r>
        <w:rPr>
          <w:b/>
        </w:rPr>
        <w:t xml:space="preserve">2. Основание наследования истца</w:t>
      </w:r>
    </w:p>
    <w:p>
      <w:pPr>
        <w:ind w:firstLine="425"/>
      </w:pPr>
      <w:r>
        <w:t xml:space="preserve">2.1. Наследование осуществляется по завещанию, по наследственному договору и по закону.</w:t>
      </w:r>
    </w:p>
    <w:p>
      <w:pPr>
        <w:ind w:firstLine="425"/>
      </w:pPr>
      <w:r>
        <w:t xml:space="preserve">2.2. Наследование по закону имеет место, когда и поскольку оно не изменено завещанием (ст. 1111 ГК).</w:t>
      </w:r>
    </w:p>
    <w:p>
      <w:pPr>
        <w:ind w:firstLine="425"/>
      </w:pPr>
      <w:r>
        <w:t xml:space="preserve">2.3. Основание наследования Истца: По закону.</w:t>
      </w:r>
    </w:p>
    <w:p>
      <w:pPr>
        <w:ind w:firstLine="425"/>
      </w:pPr>
      <w:r>
        <w:t xml:space="preserve">2.4. Родственные отношения с наследодателем: сын наследодателя, наследник первой очереди.</w:t>
      </w:r>
    </w:p>
    <w:p>
      <w:pPr>
        <w:ind w:firstLine="425"/>
      </w:pPr>
      <w:r>
        <w:t xml:space="preserve">2.5. Наследники по закону призываются к наследованию в порядке очерёдности.</w:t>
      </w:r>
    </w:p>
    <w:p>
      <w:pPr>
        <w:ind w:firstLine="425"/>
      </w:pPr>
      <w:r>
        <w:t xml:space="preserve">2.6. Наследники одной очереди наследуют в равных долях, за исключением наследующих по праву представления (ст. 1141 ГК).</w:t>
      </w:r>
    </w:p>
    <w:p>
      <w:pPr>
        <w:ind w:firstLine="425"/>
      </w:pPr>
      <w:r>
        <w:t xml:space="preserve">2.7. Наследниками первой очереди по закону являются дети, супруг и родители наследодателя (ст. 1142 ГК).</w:t>
      </w:r>
    </w:p>
    <w:p>
      <w:pPr>
        <w:ind w:firstLine="425"/>
      </w:pPr>
      <w:r>
        <w:t xml:space="preserve">2.8. Наследодателем составлено завещание от 05.06.2021, удостоверенное нотариусом города Москвы Петровым В. Н., реестровый номер 77/155-н/77-2021-3-421. Завещание является односторонней сделкой, создающей права и обязанности после открытия наследства (ст. 1118 ГК).</w:t>
      </w:r>
    </w:p>
    <w:p>
      <w:pPr>
        <w:ind w:firstLine="425"/>
      </w:pPr>
      <w:r>
        <w:t xml:space="preserve">2.9. Иные наследники, призванные к наследованию: Соколова М. П. — супруга наследодателя, приняла наследство в установленный срок; Соколов А. П. — сын, от наследства отказался.</w:t>
      </w:r>
    </w:p>
    <w:p>
      <w:pPr>
        <w:ind w:firstLine="425"/>
      </w:pPr>
      <w:r>
        <w:t xml:space="preserve">2.10. Несовершеннолетние или нетрудоспособные дети наследодателя, его нетрудоспособные супруг и родители наследуют независимо от содержания завещания не менее половины доли, которая причиталась бы каждому из них при наследовании по закону (ст. 1149 ГК).</w:t>
      </w:r>
    </w:p>
    <w:p>
      <w:pPr>
        <w:ind w:firstLine="425"/>
      </w:pPr>
      <w:r>
        <w:t xml:space="preserve">2.11. Доля, на которую претендует Истец: 1/2 доли в праве общей долевой собственности.</w:t>
      </w:r>
    </w:p>
    <w:p>
      <w:pPr>
        <w:pStyle w:val="ClauseHeading"/>
      </w:pPr>
      <w:r>
        <w:rPr>
          <w:b/>
        </w:rPr>
        <w:t xml:space="preserve">3. Принятие наследства: общие правила</w:t>
      </w:r>
    </w:p>
    <w:p>
      <w:pPr>
        <w:ind w:firstLine="425"/>
      </w:pPr>
      <w:r>
        <w:t xml:space="preserve">3.1. В состав наследства входят принадлежавшие наследодателю на день открытия наследства вещи, иное имущество, в том числе имущественные права и обязанности (ст. 1112 ГК).</w:t>
      </w:r>
    </w:p>
    <w:p>
      <w:pPr>
        <w:ind w:firstLine="425"/>
      </w:pPr>
      <w:r>
        <w:t xml:space="preserve">3.2. Не входят в состав наследства права и обязанности, неразрывно связанные с личностью наследодателя, а также права и обязанности, переход которых в порядке наследования не допускается законом.</w:t>
      </w:r>
    </w:p>
    <w:p>
      <w:pPr>
        <w:ind w:firstLine="425"/>
      </w:pPr>
      <w:r>
        <w:t xml:space="preserve">3.3. Для приобретения наследства наследник должен его принять; принятие наследником части наследства означает принятие всего причитающегося ему наследства, в чём бы оно ни заключалось и где бы ни находилось (ст. 1152 ГК).</w:t>
      </w:r>
    </w:p>
    <w:p>
      <w:pPr>
        <w:ind w:firstLine="425"/>
      </w:pPr>
      <w:r>
        <w:t xml:space="preserve">3.4. Принятое наследство признаётся принадлежащим наследнику со дня открытия наследства независимо от времени его фактического принятия и независимо от момента государственной регистрации права наследника.</w:t>
      </w:r>
    </w:p>
    <w:p>
      <w:pPr>
        <w:ind w:firstLine="425"/>
      </w:pPr>
      <w:r>
        <w:t xml:space="preserve">3.5. Принятие наследства осуществляется подачей нотариусу заявления о принятии наследства либо заявления о выдаче свидетельства о праве на наследство, а равно совершением действий, свидетельствующих о фактическом принятии наследства (ст. 1153 ГК).</w:t>
      </w:r>
    </w:p>
    <w:p>
      <w:pPr>
        <w:ind w:firstLine="425"/>
      </w:pPr>
      <w:r>
        <w:t xml:space="preserve">3.6. Наследство может быть принято в течение шести месяцев со дня открытия наследства (ст. 1154 ГК).</w:t>
      </w:r>
    </w:p>
    <w:p>
      <w:pPr>
        <w:pStyle w:val="ClauseHeading"/>
      </w:pPr>
      <w:r>
        <w:rPr>
          <w:b/>
        </w:rPr>
        <w:t xml:space="preserve">4. Основание требования: восстановление срока принятия наследства</w:t>
      </w:r>
    </w:p>
    <w:p>
      <w:pPr>
        <w:ind w:firstLine="425"/>
      </w:pPr>
      <w:r>
        <w:t xml:space="preserve">4.1. Истец не обратился к нотариусу за принятием наследства в установленный шестимесячный срок по следующим причинам: истец проходил длительное стационарное лечение с 10.03.2025 по 05.10.2025 и не знал об открытии наследства, поскольку не поддерживал связь с наследодателем.</w:t>
      </w:r>
    </w:p>
    <w:p>
      <w:pPr>
        <w:ind w:firstLine="425"/>
      </w:pPr>
      <w:r>
        <w:t xml:space="preserve">4.2. По заявлению наследника, пропустившего срок, установленный для принятия наследства, суд может восстановить этот срок и признать наследника принявшим наследство, если наследник не знал и не должен был знать об открытии наследства либо пропустил срок по другим уважительным причинам (ст. 1155 ГК).</w:t>
      </w:r>
    </w:p>
    <w:p>
      <w:pPr>
        <w:ind w:firstLine="425"/>
      </w:pPr>
      <w:r>
        <w:t xml:space="preserve">4.3. Обязательным условием восстановления срока является обращение наследника в суд в течение шести месяцев после того, как причины пропуска этого срока отпали; причины отпали 05.10.2025, и настоящее заявление подано в пределах указанного срока.</w:t>
      </w:r>
    </w:p>
    <w:p>
      <w:pPr>
        <w:ind w:firstLine="425"/>
      </w:pPr>
      <w:r>
        <w:t xml:space="preserve">4.4. Признавая наследника принявшим наследство, суд определяет доли всех наследников в наследственном имуществе и при необходимости определяет меры по защите прав нового наследника на получение причитающейся ему доли.</w:t>
      </w:r>
    </w:p>
    <w:p>
      <w:pPr>
        <w:ind w:firstLine="425"/>
      </w:pPr>
      <w:r>
        <w:t xml:space="preserve">4.5. Ранее выданные свидетельства о праве на наследство признаются судом недействительными, а решение суда является основанием для внесения соответствующих изменений в запись о государственной регистрации права (ст. 1163 ГК).</w:t>
      </w:r>
    </w:p>
    <w:p>
      <w:pPr>
        <w:ind w:firstLine="425"/>
      </w:pPr>
      <w:r>
        <w:t xml:space="preserve">4.6. 20.11.2025 Истец обратился к нотариусу за принятием наследства, однако 27.11.2025 получил отказ по мотиву: пропуск шестимесячного срока для принятия наследства.</w:t>
      </w:r>
    </w:p>
    <w:p>
      <w:pPr>
        <w:ind w:firstLine="425"/>
      </w:pPr>
      <w:r>
        <w:t xml:space="preserve">4.7. Согласия наследников, принявших наследство, на включение Истца в их число во внесудебном порядке не получено, поэтому восстановление срока возможно только судом.</w:t>
      </w:r>
    </w:p>
    <w:p>
      <w:pPr>
        <w:pStyle w:val="ClauseHeading"/>
      </w:pPr>
      <w:r>
        <w:rPr>
          <w:b/>
        </w:rPr>
        <w:t xml:space="preserve">5. Основание требования: факт принятия наследства</w:t>
      </w:r>
    </w:p>
    <w:p>
      <w:pPr>
        <w:ind w:firstLine="425"/>
      </w:pPr>
      <w:r>
        <w:t xml:space="preserve">5.1. Истец в течение шести месяцев со дня открытия наследства совершил действия, свидетельствующие о фактическом принятии наследства: истец вселился в квартиру наследодателя, оплачивает коммунальные услуги и взносы на капитальный ремонт, заменил входную дверь и замки, забрал личные вещи и документы наследодателя.</w:t>
      </w:r>
    </w:p>
    <w:p>
      <w:pPr>
        <w:ind w:firstLine="425"/>
      </w:pPr>
      <w:r>
        <w:t xml:space="preserve">5.2. Признаётся, пока не доказано иное, что наследник принял наследство, если он вступил во владение или в управление наследственным имуществом, принял меры по его сохранению и защите от посягательств третьих лиц, произвёл за свой счёт расходы на содержание наследственного имущества, оплатил за свой счёт долги наследодателя или получил от третьих лиц причитавшиеся наследодателю денежные средства (ст. 1153 ГК).</w:t>
      </w:r>
    </w:p>
    <w:p>
      <w:pPr>
        <w:ind w:firstLine="425"/>
      </w:pPr>
      <w:r>
        <w:t xml:space="preserve">5.3. Расходы, понесённые Истцом на содержание и сохранение наследственного имущества, составили 84500 рублей и подтверждаются приложенными платёжными документами.</w:t>
      </w:r>
    </w:p>
    <w:p>
      <w:pPr>
        <w:ind w:firstLine="425"/>
      </w:pPr>
      <w:r>
        <w:t xml:space="preserve">5.4. Принятое наследство признаётся принадлежащим наследнику со дня открытия наследства независимо от времени его фактического принятия (ст. 1152 ГК).</w:t>
      </w:r>
    </w:p>
    <w:p>
      <w:pPr>
        <w:ind w:firstLine="425"/>
      </w:pPr>
      <w:r>
        <w:t xml:space="preserve">5.5. Суд устанавливает факты, от которых зависит возникновение имущественных прав граждан, в том числе факт принятия наследства и место открытия наследства (ст. 264 ГПК).</w:t>
      </w:r>
    </w:p>
    <w:p>
      <w:pPr>
        <w:ind w:firstLine="425"/>
      </w:pPr>
      <w:r>
        <w:t xml:space="preserve">5.6. Такие факты устанавливаются судом только при невозможности получения заявителем в ином порядке надлежащих документов, удостоверяющих эти факты (ст. 265 ГПК).</w:t>
      </w:r>
    </w:p>
    <w:p>
      <w:pPr>
        <w:ind w:firstLine="425"/>
      </w:pPr>
      <w:r>
        <w:t xml:space="preserve">5.7. Поскольку по требованию имеется спор о праве с другими наследниками, оно рассматривается по правилам искового производства (ст. 263 ГПК).</w:t>
      </w:r>
    </w:p>
    <w:p>
      <w:pPr>
        <w:ind w:firstLine="425"/>
      </w:pPr>
      <w:r>
        <w:t xml:space="preserve">5.8. Нотариус в выдаче свидетельства о праве на наследство отказал 27.11.2025 по мотиву: пропуск шестимесячного срока для принятия наследства.</w:t>
      </w:r>
    </w:p>
    <w:p>
      <w:pPr>
        <w:pStyle w:val="ClauseHeading"/>
      </w:pPr>
      <w:r>
        <w:rPr>
          <w:b/>
        </w:rPr>
        <w:t xml:space="preserve">6. Основание требования: признание права собственности</w:t>
      </w:r>
    </w:p>
    <w:p>
      <w:pPr>
        <w:ind w:firstLine="425"/>
      </w:pPr>
      <w:r>
        <w:t xml:space="preserve">6.1. Право собственности на имущество, которое имеет собственника, может быть приобретено другим лицом в порядке наследования по закону или по завещанию в соответствии с завещанием либо законом (ст. 218 ГК).</w:t>
      </w:r>
    </w:p>
    <w:p>
      <w:pPr>
        <w:ind w:firstLine="425"/>
      </w:pPr>
      <w:r>
        <w:t xml:space="preserve">6.2. Принятое наследство признаётся принадлежащим наследнику со дня открытия наследства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 (ст. 1152 ГК).</w:t>
      </w:r>
    </w:p>
    <w:p>
      <w:pPr>
        <w:ind w:firstLine="425"/>
      </w:pPr>
      <w:r>
        <w:t xml:space="preserve">6.3. Истец претендует на признание за ним права собственности в размере доли: 1/2 доли в праве общей долевой собственности — на имущество, перечисленное в обстоятельствах дела.</w:t>
      </w:r>
    </w:p>
    <w:p>
      <w:pPr>
        <w:ind w:firstLine="425"/>
      </w:pPr>
      <w:r>
        <w:t xml:space="preserve">6.4. Признание права является самостоятельным способом защиты гражданских прав и применяется, когда право оспаривается или не признаётся другими лицами (ст. 12 ГК).</w:t>
      </w:r>
    </w:p>
    <w:p>
      <w:pPr>
        <w:ind w:firstLine="425"/>
      </w:pPr>
      <w:r>
        <w:t xml:space="preserve">6.5. При наличии нескольких наследников наследственное имущество поступает в их общую долевую собственность со дня открытия наследства (ст. 1164 ГК).</w:t>
      </w:r>
    </w:p>
    <w:p>
      <w:pPr>
        <w:ind w:firstLine="425"/>
      </w:pPr>
      <w:r>
        <w:t xml:space="preserve">6.6. Решение суда о признании права собственности является основанием для внесения записи в Единый государственный реестр недвижимости и для оформления прав на движимое имущество.</w:t>
      </w:r>
    </w:p>
    <w:p>
      <w:pPr>
        <w:ind w:firstLine="425"/>
      </w:pPr>
      <w:r>
        <w:t xml:space="preserve">6.7. Во внесудебном порядке оформить право Истец не может: нотариус отказал в выдаче свидетельства по мотиву — пропуск шестимесячного срока для принятия наследства.</w:t>
      </w:r>
    </w:p>
    <w:p>
      <w:pPr>
        <w:pStyle w:val="ClauseHeading"/>
      </w:pPr>
      <w:r>
        <w:rPr>
          <w:b/>
        </w:rPr>
        <w:t xml:space="preserve">7. Основание требования: раздел наследственного имущества</w:t>
      </w:r>
    </w:p>
    <w:p>
      <w:pPr>
        <w:ind w:firstLine="425"/>
      </w:pPr>
      <w:r>
        <w:t xml:space="preserve">7.1. Наследственное имущество, перешедшее к двум или нескольким наследникам, поступает со дня открытия наследства в их общую долевую собственность (ст. 1164 ГК).</w:t>
      </w:r>
    </w:p>
    <w:p>
      <w:pPr>
        <w:ind w:firstLine="425"/>
      </w:pPr>
      <w:r>
        <w:t xml:space="preserve">7.2. Наследственное имущество, находящееся в общей долевой собственности, может быть разделено по соглашению наследников, а при недостижении соглашения раздел производится в судебном порядке (ст. 1165 ГК).</w:t>
      </w:r>
    </w:p>
    <w:p>
      <w:pPr>
        <w:ind w:firstLine="425"/>
      </w:pPr>
      <w:r>
        <w:t xml:space="preserve">7.3. Имущество, находящееся в долевой собственности, может быть разделено между её участниками по соглашению; при недостижении согласия участник вправе требовать выдела своей доли в натуре, а при невозможности выдела — выплаты стоимости доли (ст. 252 ГК).</w:t>
      </w:r>
    </w:p>
    <w:p>
      <w:pPr>
        <w:ind w:firstLine="425"/>
      </w:pPr>
      <w:r>
        <w:t xml:space="preserve">7.4. Наследник, обладавший совместно с наследодателем правом общей собственности на неделимую вещь, имеет при разделе наследства преимущественное право на получение этой вещи в счёт своей наследственной доли (ст. 1168 ГК).</w:t>
      </w:r>
    </w:p>
    <w:p>
      <w:pPr>
        <w:ind w:firstLine="425"/>
      </w:pPr>
      <w:r>
        <w:t xml:space="preserve">7.5. Наследник, проживавший ко дню открытия наследства совместно с наследодателем, имеет преимущественное право на получение предметов обычной домашней обстановки и обихода в счёт своей доли (ст. 1169 ГК).</w:t>
      </w:r>
    </w:p>
    <w:p>
      <w:pPr>
        <w:ind w:firstLine="425"/>
      </w:pPr>
      <w:r>
        <w:t xml:space="preserve">7.6. Несоразмерность имущества, получаемого наследником при осуществлении преимущественного права, его наследственной доле устраняется передачей этим наследником другого имущества или выплатой соответствующей денежной компенсации (ст. 1170 ГК).</w:t>
      </w:r>
    </w:p>
    <w:p>
      <w:pPr>
        <w:ind w:firstLine="425"/>
      </w:pPr>
      <w:r>
        <w:t xml:space="preserve">7.7. Истец предлагает следующий порядок раздела: квартиру передать истцу с выплатой ответчику денежной компенсации, автомобиль и денежные вклады передать ответчику; размер денежной компенсации составляет 1800000 рублей.</w:t>
      </w:r>
    </w:p>
    <w:p>
      <w:pPr>
        <w:ind w:firstLine="425"/>
      </w:pPr>
      <w:r>
        <w:t xml:space="preserve">7.8. Истец заявляет о преимущественном праве на получение неделимой вещи в счёт своей наследственной доли по основаниям, изложенным в обстоятельствах дела.</w:t>
      </w:r>
    </w:p>
    <w:p>
      <w:pPr>
        <w:pStyle w:val="ClauseHeading"/>
      </w:pPr>
      <w:r>
        <w:rPr>
          <w:b/>
        </w:rPr>
        <w:t xml:space="preserve">8. Основание требования: супружеская доля</w:t>
      </w:r>
    </w:p>
    <w:p>
      <w:pPr>
        <w:ind w:firstLine="425"/>
      </w:pPr>
      <w:r>
        <w:t xml:space="preserve">8.1. Принадлежащее пережившему супругу наследодателя в силу завещания или закона право наследования не умаляет его права на часть имущества, нажитого во время брака и являющегося их совместной собственностью (ст. 1150 ГК).</w:t>
      </w:r>
    </w:p>
    <w:p>
      <w:pPr>
        <w:ind w:firstLine="425"/>
      </w:pPr>
      <w:r>
        <w:t xml:space="preserve">8.2. Доля умершего супруга в этом имуществе входит в состав наследства и переходит к наследникам, а доля пережившего супруга в наследственную массу не включается.</w:t>
      </w:r>
    </w:p>
    <w:p>
      <w:pPr>
        <w:ind w:firstLine="425"/>
      </w:pPr>
      <w:r>
        <w:t xml:space="preserve">8.3. Имущество, нажитое супругами во время брака, является их совместной собственностью, если договором между ними не установлен иной режим (ст. 256 ГК).</w:t>
      </w:r>
    </w:p>
    <w:p>
      <w:pPr>
        <w:ind w:firstLine="425"/>
      </w:pPr>
      <w:r>
        <w:t xml:space="preserve">8.4. Имуществом, нажитым супругами во время брака, признаются доходы каждого из супругов, приобретённые за счёт общих доходов вещи, ценные бумаги, вклады и доли в капитале, независимо от того, на имя кого из супругов они оформлены (ст. 34 СК).</w:t>
      </w:r>
    </w:p>
    <w:p>
      <w:pPr>
        <w:ind w:firstLine="425"/>
      </w:pPr>
      <w:r>
        <w:t xml:space="preserve">8.5. При разделе общего имущества супругов доли признаются равными, если иное не предусмотрено договором между супругами (ст. 39 СК).</w:t>
      </w:r>
    </w:p>
    <w:p>
      <w:pPr>
        <w:ind w:firstLine="425"/>
      </w:pPr>
      <w:r>
        <w:t xml:space="preserve">8.6. Истец просит выделить супружескую долю в размере 1/2 доли в праве общей долевой собственности и исключить её из наследственной массы, а оставшуюся часть распределить между наследниками.</w:t>
      </w:r>
    </w:p>
    <w:p>
      <w:pPr>
        <w:ind w:firstLine="425"/>
      </w:pPr>
      <w:r>
        <w:t xml:space="preserve">8.7. Состав совместно нажитого имущества и основания его отнесения к общей собственности изложены в обстоятельствах дела и подтверждены приложенными доказательствами.</w:t>
      </w:r>
    </w:p>
    <w:p>
      <w:pPr>
        <w:pStyle w:val="ClauseHeading"/>
      </w:pPr>
      <w:r>
        <w:rPr>
          <w:b/>
        </w:rPr>
        <w:t xml:space="preserve">9. Основание требования: долги наследодателя</w:t>
      </w:r>
    </w:p>
    <w:p>
      <w:pPr>
        <w:ind w:firstLine="425"/>
      </w:pPr>
      <w:r>
        <w:t xml:space="preserve">9.1. Наследники, принявшие наследство, отвечают по долгам наследодателя солидарно, и каждый из них отвечает в пределах стоимости перешедшего к нему наследственного имущества (ст. 1175 ГК).</w:t>
      </w:r>
    </w:p>
    <w:p>
      <w:pPr>
        <w:ind w:firstLine="425"/>
      </w:pPr>
      <w:r>
        <w:t xml:space="preserve">9.2. Обязанности наследодателя, не связанные неразрывно с его личностью, входят в состав наследства и смертью должника не прекращаются (ст. 1112 ГК).</w:t>
      </w:r>
    </w:p>
    <w:p>
      <w:pPr>
        <w:ind w:firstLine="425"/>
      </w:pPr>
      <w:r>
        <w:t xml:space="preserve">9.3. Основание возникновения долга наследодателя: кредитный договор от 12.04.2023 № 4455-КД, исполненный истцом как поручителем.</w:t>
      </w:r>
    </w:p>
    <w:p>
      <w:pPr>
        <w:ind w:firstLine="425"/>
      </w:pPr>
      <w:r>
        <w:t xml:space="preserve">9.4. Период образования задолженности: с 01.02.2025 по 31.12.2025. Сумма долга составляет 620000 рублей.</w:t>
      </w:r>
    </w:p>
    <w:p>
      <w:pPr>
        <w:ind w:firstLine="425"/>
      </w:pPr>
      <w:r>
        <w:t xml:space="preserve">9.5. При солидарной обязанности кредитор вправе требовать исполнения как от всех должников совместно, так и от любого из них в отдельности, притом как полностью, так и в части долга (ст. 323 ГК).</w:t>
      </w:r>
    </w:p>
    <w:p>
      <w:pPr>
        <w:ind w:firstLine="425"/>
      </w:pPr>
      <w:r>
        <w:t xml:space="preserve">9.6. Истец как поручитель исполнил обязательство за наследодателя, и к нему перешли права кредитора в том объёме, в котором он удовлетворил требование, поэтому требование заявлено в порядке регресса (ст. 365 ГК).</w:t>
      </w:r>
    </w:p>
    <w:p>
      <w:pPr>
        <w:ind w:firstLine="425"/>
      </w:pPr>
      <w:r>
        <w:t xml:space="preserve">9.7. Требование предъявлено в пределах стоимости наследственного имущества, определённой на день открытия наследства; постатейный расчёт приведён в Приложение № 3.</w:t>
      </w:r>
    </w:p>
    <w:p>
      <w:pPr>
        <w:ind w:firstLine="425"/>
      </w:pPr>
      <w:r>
        <w:t xml:space="preserve">9.8. Если наследство является выморочным, оно переходит в собственность публично-правового образования, которое отвечает по долгам наследодателя на общих основаниях (ст. 1151 ГК).</w:t>
      </w:r>
    </w:p>
    <w:p>
      <w:pPr>
        <w:ind w:firstLine="425"/>
      </w:pPr>
      <w:r>
        <w:t xml:space="preserve">9.9. Срок исковой давности по требованиям кредиторов наследодателя не прерывается, не приостанавливается и не восстанавливается в связи с открытием наследства.</w:t>
      </w:r>
    </w:p>
    <w:p>
      <w:pPr>
        <w:pStyle w:val="ClauseHeading"/>
      </w:pPr>
      <w:r>
        <w:rPr>
          <w:b/>
        </w:rPr>
        <w:t xml:space="preserve">10. Основание требования: недействительность завещания</w:t>
      </w:r>
    </w:p>
    <w:p>
      <w:pPr>
        <w:ind w:firstLine="425"/>
      </w:pPr>
      <w:r>
        <w:t xml:space="preserve">10.1. Оспариваемое завещание составлено 05.06.2021 и удостоверено нотариусом города Москвы Петровым В. Н., реестровый номер 77/155-н/77-2021-3-421. Основание оспаривания: Завещатель не был способен понимать значение своих действий (ст. 177 ГК РФ).</w:t>
      </w:r>
    </w:p>
    <w:p>
      <w:pPr>
        <w:ind w:firstLine="425"/>
      </w:pPr>
      <w:r>
        <w:t xml:space="preserve">10.2. Завещание может быть совершено гражданином, обладающим в момент его совершения дееспособностью в полном объёме, и должно быть совершено лично; совершение завещания через представителя не допускается (ст. 1118 ГК).</w:t>
      </w:r>
    </w:p>
    <w:p>
      <w:pPr>
        <w:ind w:firstLine="425"/>
      </w:pPr>
      <w:r>
        <w:t xml:space="preserve">10.3. Завещание должно быть составлено в письменной форме и удостоверено нотариусом; несоблюдение установленных правил о письменной форме и удостоверении влечёт недействительность завещания (ст. 1124 ГК).</w:t>
      </w:r>
    </w:p>
    <w:p>
      <w:pPr>
        <w:ind w:firstLine="425"/>
      </w:pPr>
      <w:r>
        <w:t xml:space="preserve">10.4. Нотариально удостоверенное завещание записывается со слов завещателя, должно быть им прочитано и собственноручно подписано в присутствии нотариуса (ст. 1125 ГК).</w:t>
      </w:r>
    </w:p>
    <w:p>
      <w:pPr>
        <w:ind w:firstLine="425"/>
      </w:pPr>
      <w:r>
        <w:t xml:space="preserve">10.5. При нарушении положений закона, влекущих недействительность завещания, оно может быть признано судом недействительным по иску лица, права или законные интересы которого нарушены этим завещанием (ст. 1131 ГК).</w:t>
      </w:r>
    </w:p>
    <w:p>
      <w:pPr>
        <w:ind w:firstLine="425"/>
      </w:pPr>
      <w:r>
        <w:t xml:space="preserve">10.6. Не могут служить основанием недействительности завещания описки и другие незначительные нарушения порядка его составления, если установлено, что они не влияют на понимание волеизъявления завещателя.</w:t>
      </w:r>
    </w:p>
    <w:p>
      <w:pPr>
        <w:ind w:firstLine="425"/>
      </w:pPr>
      <w:r>
        <w:t xml:space="preserve">10.7. Сделка, совершённая гражданином, хотя и дееспособным, но находившимся в момент её совершения в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нарушены (ст. 177 ГК).</w:t>
      </w:r>
    </w:p>
    <w:p>
      <w:pPr>
        <w:ind w:firstLine="425"/>
      </w:pPr>
      <w:r>
        <w:t xml:space="preserve">10.8. Недействительность завещания не лишает лиц, указанных в нём в качестве наследников, права наследовать по закону или на основании другого действительного завещания.</w:t>
      </w:r>
    </w:p>
    <w:p>
      <w:pPr>
        <w:pStyle w:val="ClauseHeading"/>
      </w:pPr>
      <w:r>
        <w:rPr>
          <w:b/>
        </w:rPr>
        <w:t xml:space="preserve">11. Основание требования: недостойный наследник</w:t>
      </w:r>
    </w:p>
    <w:p>
      <w:pPr>
        <w:ind w:firstLine="425"/>
      </w:pPr>
      <w:r>
        <w:t xml:space="preserve">11.1. Не наследуют ни по закону, ни по завещанию граждане, которые своими умышленными противоправными действиями, направленными против наследодателя, кого-либо из наследников или против осуществления последней воли наследодателя, способствовали либо пытались способствовать призванию их самих или других лиц к наследованию либо увеличению причитающейся им доли (ст. 1117 ГК).</w:t>
      </w:r>
    </w:p>
    <w:p>
      <w:pPr>
        <w:ind w:firstLine="425"/>
      </w:pPr>
      <w:r>
        <w:t xml:space="preserve">11.2. По требованию заинтересованного лица суд отстраняет от наследования по закону граждан, злостно уклонявшихся от выполнения лежавших на них в силу закона обязанностей по содержанию наследодателя.</w:t>
      </w:r>
    </w:p>
    <w:p>
      <w:pPr>
        <w:ind w:firstLine="425"/>
      </w:pPr>
      <w:r>
        <w:t xml:space="preserve">11.3. Обязанность совершеннолетних детей содержать своих нетрудоспособных нуждающихся родителей установлена законом и может быть подтверждена соглашением об уплате алиментов или решением суда (ст. 87 СК).</w:t>
      </w:r>
    </w:p>
    <w:p>
      <w:pPr>
        <w:ind w:firstLine="425"/>
      </w:pPr>
      <w:r>
        <w:t xml:space="preserve">11.4. Обстоятельства, свидетельствующие о недостойном поведении Ответчика: ответчик злостно уклонялся от исполнения обязанности по содержанию наследодателя, установленной решением суда о взыскании алиментов на нетрудоспособного родителя.</w:t>
      </w:r>
    </w:p>
    <w:p>
      <w:pPr>
        <w:ind w:firstLine="425"/>
      </w:pPr>
      <w:r>
        <w:t xml:space="preserve">11.5. Лицо, не имеющее права наследовать или отстранённое от наследования, обязано возвратить всё имущество, неосновательно полученное им из состава наследства (ст. 1102 ГК).</w:t>
      </w:r>
    </w:p>
    <w:p>
      <w:pPr>
        <w:ind w:firstLine="425"/>
      </w:pPr>
      <w:r>
        <w:t xml:space="preserve">11.6. Указанные правила распространяются и на наследников, имеющих право на обязательную долю в наследстве, а также на завещательный отказ.</w:t>
      </w:r>
    </w:p>
    <w:p>
      <w:pPr>
        <w:pStyle w:val="ClauseHeading"/>
      </w:pPr>
      <w:r>
        <w:rPr>
          <w:b/>
        </w:rPr>
        <w:t xml:space="preserve">12. Обращение к нотариусу и досудебный порядок</w:t>
      </w:r>
    </w:p>
    <w:p>
      <w:pPr>
        <w:ind w:firstLine="425"/>
      </w:pPr>
      <w:r>
        <w:t xml:space="preserve">12.1. 20.11.2025 Истец обратился к нотариусу нотариус города Москвы Иванова Анна Сергеевна; наследственное дело № 112/2025.</w:t>
      </w:r>
    </w:p>
    <w:p>
      <w:pPr>
        <w:ind w:firstLine="425"/>
      </w:pPr>
      <w:r>
        <w:t xml:space="preserve">12.2. Результат обращения: пропуск шестимесячного срока для принятия наследства; постановление об отказе в совершении нотариального действия датировано 27.11.2025.</w:t>
      </w:r>
    </w:p>
    <w:p>
      <w:pPr>
        <w:ind w:firstLine="425"/>
      </w:pPr>
      <w:r>
        <w:t xml:space="preserve">12.3. Свидетельство о праве на наследство выдаётся наследникам по истечении шести месяцев со дня открытия наследства, а ранее этого срока — при наличии достоверных данных об отсутствии иных наследников (ст. 1163 ГК).</w:t>
      </w:r>
    </w:p>
    <w:p>
      <w:pPr>
        <w:ind w:firstLine="425"/>
      </w:pPr>
      <w:r>
        <w:t xml:space="preserve">12.4. Обязательный досудебный порядок урегулирования наследственных споров законом не предусмотрен, поэтому обращение в суд возможно без направления претензии.</w:t>
      </w:r>
    </w:p>
    <w:p>
      <w:pPr>
        <w:ind w:firstLine="425"/>
      </w:pPr>
      <w:r>
        <w:t xml:space="preserve">12.5. Нотариус привлекается к участию в деле третьим лицом, не заявляющим самостоятельных требований, поскольку собственного интереса в исходе спора не имеет и ответчиком по такому требованию быть не может.</w:t>
      </w:r>
    </w:p>
    <w:p>
      <w:pPr>
        <w:ind w:firstLine="425"/>
      </w:pPr>
      <w:r>
        <w:t xml:space="preserve">12.6. Обстоятельства дела подтверждаются следующими доказательствами: свидетельство о смерти, свидетельство о рождении, выписка из ЕГРН, квитанции об оплате коммунальных услуг, договор подряда на замену двери, показания соседей.</w:t>
      </w:r>
    </w:p>
    <w:p>
      <w:pPr>
        <w:ind w:firstLine="425"/>
      </w:pPr>
      <w:r>
        <w:t xml:space="preserve">12.7. Документы, на которых Истец основывает свои требования, прилагаются к заявлению (ст. 132 ГПК).</w:t>
      </w:r>
    </w:p>
    <w:p>
      <w:pPr>
        <w:pStyle w:val="ClauseHeading"/>
      </w:pPr>
      <w:r>
        <w:rPr>
          <w:b/>
        </w:rPr>
        <w:t xml:space="preserve">13. Подсудность и подведомственность</w:t>
      </w:r>
    </w:p>
    <w:p>
      <w:pPr>
        <w:ind w:firstLine="425"/>
      </w:pPr>
      <w:r>
        <w:t xml:space="preserve">13.1. Настоящее заявление подаётся в Пресненский районный суд города Москвы; выбранный уровень суда: Районный (городской) суд.</w:t>
      </w:r>
    </w:p>
    <w:p>
      <w:pPr>
        <w:ind w:firstLine="425"/>
      </w:pPr>
      <w:r>
        <w:t xml:space="preserve">13.2. Иски о правах на жилые и нежилые помещения, земельные участки и другое недвижимое имущество, входящее в состав наследства, предъявляются по месту нахождения этого имущества — это исключительная подсудность, изменить её соглашением нельзя (ст. 30 ГПК).</w:t>
      </w:r>
    </w:p>
    <w:p>
      <w:pPr>
        <w:ind w:firstLine="425"/>
      </w:pPr>
      <w:r>
        <w:t xml:space="preserve">13.3. Если требование не связано с правами на недвижимость, иск предъявляется по адресу места жительства ответчика-гражданина или по адресу организации (ст. 28 ГПК).</w:t>
      </w:r>
    </w:p>
    <w:p>
      <w:pPr>
        <w:ind w:firstLine="425"/>
      </w:pPr>
      <w:r>
        <w:t xml:space="preserve">13.4. Имущественные споры при цене иска до пятидесяти тысяч рублей рассматривает мировой судья; наследственные споры, включая раздел наследственного имущества и восстановление срока принятия наследства, отнесены к подсудности районного суда (ст. 23 ГПК).</w:t>
      </w:r>
    </w:p>
    <w:p>
      <w:pPr>
        <w:ind w:firstLine="425"/>
      </w:pPr>
      <w:r>
        <w:t xml:space="preserve">13.5. Местом открытия наследства является последнее место жительства наследодателя, а если оно неизвестно или находится за пределами Российской Федерации — место нахождения наследственного имущества либо наиболее ценной его части (ст. 1115 ГК).</w:t>
      </w:r>
    </w:p>
    <w:p>
      <w:pPr>
        <w:ind w:firstLine="425"/>
      </w:pPr>
      <w:r>
        <w:t xml:space="preserve">13.6. Цена иска по требованиям о признании права собственности на имущество определяется стоимостью этого имущества (ст. 91 ГПК).</w:t>
      </w:r>
    </w:p>
    <w:p>
      <w:pPr>
        <w:pStyle w:val="ClauseHeading"/>
      </w:pPr>
      <w:r>
        <w:rPr>
          <w:b/>
        </w:rPr>
        <w:t xml:space="preserve">14. Государственная пошлина</w:t>
      </w:r>
    </w:p>
    <w:p>
      <w:pPr>
        <w:ind w:firstLine="425"/>
      </w:pPr>
      <w:r>
        <w:t xml:space="preserve">14.1. По требованиям имущественного характера, подлежащим оценке, государственная пошлина исчисляется от цены иска — стоимости наследственного имущества или доли, на которую претендует Истец.</w:t>
      </w:r>
    </w:p>
    <w:p>
      <w:pPr>
        <w:ind w:firstLine="425"/>
      </w:pPr>
      <w:r>
        <w:t xml:space="preserve">14.2. Ставки для дел, рассматриваемых судами общей юрисдикции и мировыми судьями, установлены статьёй 333.19 Налогового кодекса, а особенности определения цены иска и доплаты пошлины — статьёй 333.20 Налогового кодекса.</w:t>
      </w:r>
    </w:p>
    <w:p>
      <w:pPr>
        <w:ind w:firstLine="425"/>
      </w:pPr>
      <w:r>
        <w:t xml:space="preserve">14.3. По требованиям, не подлежащим оценке, включая установление факта принятия наследства, восстановление срока принятия наследства и признание завещания недействительным, пошлина уплачивается в твёрдом размере.</w:t>
      </w:r>
    </w:p>
    <w:p>
      <w:pPr>
        <w:ind w:firstLine="425"/>
      </w:pPr>
      <w:r>
        <w:t xml:space="preserve">14.4. Если заявлено несколько разнородных требований, пошлина уплачивается отдельно по каждому из них, а при увеличении размера требований недостающая сумма доплачивается.</w:t>
      </w:r>
    </w:p>
    <w:p>
      <w:pPr>
        <w:ind w:firstLine="425"/>
      </w:pPr>
      <w:r>
        <w:t xml:space="preserve">14.5. Стоимость наследственного имущества для расчёта пошлины подтверждается отчётом оценщика, выпиской о кадастровой стоимости или иным документом о стоимости на день открытия наследства.</w:t>
      </w:r>
    </w:p>
    <w:p>
      <w:pPr>
        <w:ind w:firstLine="425"/>
      </w:pPr>
      <w:r>
        <w:t xml:space="preserve">14.6. От уплаты пошлины освобождены отдельные категории заявителей, в том числе инвалиды первой и второй группы по требованиям при цене иска до одного миллиона рублей (ст. 333.36 НК РФ).</w:t>
      </w:r>
    </w:p>
    <w:p>
      <w:pPr>
        <w:ind w:firstLine="425"/>
      </w:pPr>
      <w:r>
        <w:t xml:space="preserve">14.7. Состояние уплаты по настоящему заявлению: Уплачена, квитанция прилагается; сумма — 29200 рублей.</w:t>
      </w:r>
    </w:p>
    <w:p>
      <w:pPr>
        <w:ind w:firstLine="425"/>
      </w:pPr>
      <w:r>
        <w:t xml:space="preserve">14.8. Расходы по уплате пошлины Истец просит возложить на Ответчика по правилам распределения судебных расходов.</w:t>
      </w:r>
    </w:p>
    <w:p>
      <w:pPr>
        <w:ind w:firstLine="425"/>
      </w:pPr>
      <w:r>
        <w:t xml:space="preserve">15.1. На основании изложенного, руководствуясь статьями 12, 218, 1111, 1112, 1141, 1152, 1153, 1154, 1155, 1164, 1165, 1175 Гражданского кодекса Российской Федерации, статьями 131 и 132 Гражданского процессуального кодекса Российской Федерации, прошу:</w:t>
      </w:r>
    </w:p>
    <w:p>
      <w:pPr>
        <w:ind w:firstLine="425"/>
      </w:pPr>
      <w:r>
        <w:t xml:space="preserve">15.2. рассмотреть заявленное требование — Восстановление срока принятия наследства — в отношении наследства, открывшегося после смерти Соколов Пётр Иванович, умершего(ей) 14.03.2025;</w:t>
      </w:r>
    </w:p>
    <w:p>
      <w:pPr>
        <w:ind w:firstLine="425"/>
      </w:pPr>
      <w:r>
        <w:t xml:space="preserve">15.3. восстановить Истцу срок для принятия наследства и признать Истца принявшим наследство;</w:t>
      </w:r>
    </w:p>
    <w:p>
      <w:pPr>
        <w:ind w:firstLine="425"/>
      </w:pPr>
      <w:r>
        <w:t xml:space="preserve">15.4. установить факт принятия Истцом наследства, открывшегося после смерти наследодателя;</w:t>
      </w:r>
    </w:p>
    <w:p>
      <w:pPr>
        <w:ind w:firstLine="425"/>
      </w:pPr>
      <w:r>
        <w:t xml:space="preserve">15.5. признать за Истцом право собственности в порядке наследования на 1/2 доли в праве общей долевой собственности в отношении наследственного имущества: квартира по адресу: г. Москва, ул. Малая Бронная, д. 12, кв. 8, площадь 54,2 кв. м;</w:t>
      </w:r>
    </w:p>
    <w:p>
      <w:pPr>
        <w:ind w:firstLine="425"/>
      </w:pPr>
      <w:r>
        <w:t xml:space="preserve">15.6. произвести раздел наследственного имущества в следующем порядке: квартиру передать истцу с выплатой ответчику денежной компенсации, автомобиль и денежные вклады передать ответчику;</w:t>
      </w:r>
    </w:p>
    <w:p>
      <w:pPr>
        <w:ind w:firstLine="425"/>
      </w:pPr>
      <w:r>
        <w:t xml:space="preserve">15.7. взыскать денежную компенсацию за несоразмерность получаемого имущества наследственной доле в размере 1800000 рублей;</w:t>
      </w:r>
    </w:p>
    <w:p>
      <w:pPr>
        <w:ind w:firstLine="425"/>
      </w:pPr>
      <w:r>
        <w:t xml:space="preserve">15.8. взыскать с Ответчика в пределах стоимости перешедшего к нему наследственного имущества долг наследодателя в размере 620000 рублей;</w:t>
      </w:r>
    </w:p>
    <w:p>
      <w:pPr>
        <w:ind w:firstLine="425"/>
      </w:pPr>
      <w:r>
        <w:t xml:space="preserve">15.9. взыскать с Ответчика возмещение расходов на содержание и сохранение наследственного имущества в размере 84500 рублей;</w:t>
      </w:r>
    </w:p>
    <w:p>
      <w:pPr>
        <w:ind w:firstLine="425"/>
      </w:pPr>
      <w:r>
        <w:t xml:space="preserve">15.10. признать недействительным завещание от 05.06.2021;</w:t>
      </w:r>
    </w:p>
    <w:p>
      <w:pPr>
        <w:ind w:firstLine="425"/>
      </w:pPr>
      <w:r>
        <w:t xml:space="preserve">15.11. отстранить Ответчика от наследования как недостойного наследника;</w:t>
      </w:r>
    </w:p>
    <w:p>
      <w:pPr>
        <w:ind w:firstLine="425"/>
      </w:pPr>
      <w:r>
        <w:t xml:space="preserve">15.12. взыскать с Ответчика расходы на оплату услуг представителя в размере 60000 рублей;</w:t>
      </w:r>
    </w:p>
    <w:p>
      <w:pPr>
        <w:ind w:firstLine="425"/>
      </w:pPr>
      <w:r>
        <w:t xml:space="preserve">15.13. взыскать с Ответчика расходы по уплате государственной пошлины в размере 29200 рублей;</w:t>
      </w:r>
    </w:p>
    <w:p>
      <w:pPr>
        <w:ind w:firstLine="425"/>
      </w:pPr>
      <w:r>
        <w:t xml:space="preserve">15.14. признать недействительным свидетельство о праве на наследство, выданное ответчику 20.10.2025</w:t>
      </w:r>
    </w:p>
    <w:p>
      <w:pPr>
        <w:ind w:firstLine="425"/>
      </w:pPr>
      <w:r>
        <w:t xml:space="preserve">16.1. Прилагаемые документы:</w:t>
      </w:r>
    </w:p>
    <w:p>
      <w:pPr>
        <w:ind w:firstLine="425"/>
      </w:pPr>
      <w:r>
        <w:t xml:space="preserve">16.2. уведомление о вручении или иные документы, подтверждающие направление Ответчику и третьим лицам копий искового заявления и приложенных к нему документов, которые у них отсутствуют;</w:t>
      </w:r>
    </w:p>
    <w:p>
      <w:pPr>
        <w:ind w:firstLine="425"/>
      </w:pPr>
      <w:r>
        <w:t xml:space="preserve">16.3. документ, подтверждающий уплату государственной пошлины, либо ходатайство об отсрочке её уплаты;</w:t>
      </w:r>
    </w:p>
    <w:p>
      <w:pPr>
        <w:ind w:firstLine="425"/>
      </w:pPr>
      <w:r>
        <w:t xml:space="preserve">16.4. копия свидетельства о смерти наследодателя: серия IX-МЮ № 654321, выдано Тверским отделом ЗАГС г. Москвы 18.03.2025;</w:t>
      </w:r>
    </w:p>
    <w:p>
      <w:pPr>
        <w:ind w:firstLine="425"/>
      </w:pPr>
      <w:r>
        <w:t xml:space="preserve">16.5. документы, подтверждающие родственные отношения Истца с наследодателем или право наследования по завещанию: сын наследодателя, наследник первой очереди;</w:t>
      </w:r>
    </w:p>
    <w:p>
      <w:pPr>
        <w:ind w:firstLine="425"/>
      </w:pPr>
      <w:r>
        <w:t xml:space="preserve">16.6. копия завещания от 05.06.2021, удостоверенного нотариусом города Москвы Петровым В. Н., реестровый номер 77/155-н/77-2021-3-421;</w:t>
      </w:r>
    </w:p>
    <w:p>
      <w:pPr>
        <w:ind w:firstLine="425"/>
      </w:pPr>
      <w:r>
        <w:t xml:space="preserve">16.7. документы о составе и принадлежности наследственного имущества: выписки из Единого государственного реестра недвижимости, свидетельства о регистрации транспортных средств, справки банков о вкладах;</w:t>
      </w:r>
    </w:p>
    <w:p>
      <w:pPr>
        <w:ind w:firstLine="425"/>
      </w:pPr>
      <w:r>
        <w:t xml:space="preserve">16.8. документ о стоимости наследственного имущества: отчёт об оценке либо выписка о кадастровой стоимости;</w:t>
      </w:r>
    </w:p>
    <w:p>
      <w:pPr>
        <w:ind w:firstLine="425"/>
      </w:pPr>
      <w:r>
        <w:t xml:space="preserve">16.9. копия постановления нотариуса об отказе в совершении нотариального действия от 27.11.2025;</w:t>
      </w:r>
    </w:p>
    <w:p>
      <w:pPr>
        <w:ind w:firstLine="425"/>
      </w:pPr>
      <w:r>
        <w:t xml:space="preserve">16.10. документы, подтверждающие обстоятельства дела: свидетельство о смерти, свидетельство о рождении, выписка из ЕГРН, квитанции об оплате коммунальных услуг, договор подряда на замену двери, показания соседей;</w:t>
      </w:r>
    </w:p>
    <w:p>
      <w:pPr>
        <w:ind w:firstLine="425"/>
      </w:pPr>
      <w:r>
        <w:t xml:space="preserve">16.11. документы о фактическом принятии наследства: квитанции об оплате коммунальных услуг и налогов, договоры на ремонт, справка о совместном проживании;</w:t>
      </w:r>
    </w:p>
    <w:p>
      <w:pPr>
        <w:ind w:firstLine="425"/>
      </w:pPr>
      <w:r>
        <w:t xml:space="preserve">16.12. документы, подтверждающие уважительность причин пропуска срока: медицинские справки, выписные эпикризы, справки с места работы или службы;</w:t>
      </w:r>
    </w:p>
    <w:p>
      <w:pPr>
        <w:ind w:firstLine="425"/>
      </w:pPr>
      <w:r>
        <w:t xml:space="preserve">16.13. состав наследственного имущества и распределение долей — Приложение № 2;</w:t>
      </w:r>
    </w:p>
    <w:p>
      <w:pPr>
        <w:ind w:firstLine="425"/>
      </w:pPr>
      <w:r>
        <w:t xml:space="preserve">16.14. расчёт цены иска, подписанный Истцом, — Приложение № 1;</w:t>
      </w:r>
    </w:p>
    <w:p>
      <w:pPr>
        <w:ind w:firstLine="425"/>
      </w:pPr>
      <w:r>
        <w:t xml:space="preserve">16.15. расчёт долга наследодателя — Приложение № 3;</w:t>
      </w:r>
    </w:p>
    <w:p>
      <w:pPr>
        <w:ind w:firstLine="425"/>
      </w:pPr>
      <w:r>
        <w:t xml:space="preserve">16.16. доверенность представителя и документ о его высшем юридическом образовании;</w:t>
      </w:r>
    </w:p>
    <w:p>
      <w:pPr>
        <w:ind w:firstLine="425"/>
      </w:pPr>
      <w:r>
        <w:t xml:space="preserve">16.17. отчёт об оценке рыночной стоимости квартиры, медицинские документы о лечении истца</w:t>
      </w:r>
    </w:p>
    <w:p>
      <w:pPr>
        <w:pageBreakBefore/>
      </w:pPr>
    </w:p>
    <w:p>
      <w:pPr>
        <w:jc w:val="right"/>
      </w:pPr>
      <w:r>
        <w:rPr>
          <w:b/>
        </w:rPr>
        <w:t xml:space="preserve">Приложение № 1 к документу</w:t>
      </w:r>
    </w:p>
    <w:p>
      <w:pPr>
        <w:pStyle w:val="DocTitle"/>
      </w:pPr>
      <w:r>
        <w:t xml:space="preserve">Расчёт цены иска</w:t>
      </w:r>
    </w:p>
    <w:p>
      <w:pPr>
        <w:ind w:firstLine="425"/>
      </w:pPr>
      <w:r>
        <w:t xml:space="preserve">Расчёт составлен по состоянию на 10.03.2026 по наследству, открывшемуся после смерти Соколов Пётр Иванович 14.03.2025.</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723"/>
        <w:gridCol w:w="2410"/>
        <w:gridCol w:w="2410"/>
        <w:gridCol w:w="4097"/>
      </w:tblGrid>
      <w:tr>
        <w:tc>
          <w:tcPr>
            <w:tcW w:w="375" w:type="pct"/>
            <w:vAlign w:val="center"/>
          </w:tcPr>
          <w:p>
            <w:pPr>
              <w:jc w:val="center"/>
              <w:ind w:firstLine="0"/>
            </w:pPr>
            <w:r>
              <w:rPr>
                <w:b/>
              </w:rPr>
              <w:t xml:space="preserve">№</w:t>
            </w:r>
          </w:p>
        </w:tc>
        <w:tc>
          <w:tcPr>
            <w:tcW w:w="1250" w:type="pct"/>
            <w:vAlign w:val="center"/>
          </w:tcPr>
          <w:p>
            <w:pPr>
              <w:jc w:val="center"/>
              <w:ind w:firstLine="0"/>
            </w:pPr>
            <w:r>
              <w:rPr>
                <w:b/>
              </w:rPr>
              <w:t xml:space="preserve">Требование</w:t>
            </w:r>
          </w:p>
        </w:tc>
        <w:tc>
          <w:tcPr>
            <w:tcW w:w="1250" w:type="pct"/>
            <w:vAlign w:val="center"/>
          </w:tcPr>
          <w:p>
            <w:pPr>
              <w:jc w:val="center"/>
              <w:ind w:firstLine="0"/>
            </w:pPr>
            <w:r>
              <w:rPr>
                <w:b/>
              </w:rPr>
              <w:t xml:space="preserve">Основание</w:t>
            </w:r>
          </w:p>
        </w:tc>
        <w:tc>
          <w:tcPr>
            <w:tcW w:w="2125" w:type="pct"/>
            <w:vAlign w:val="center"/>
          </w:tcPr>
          <w:p>
            <w:pPr>
              <w:jc w:val="center"/>
              <w:ind w:firstLine="0"/>
            </w:pPr>
            <w:r>
              <w:rPr>
                <w:b/>
              </w:rPr>
              <w:t xml:space="preserve">Стоимость имущества или доли, руб.</w:t>
            </w:r>
          </w:p>
        </w:tc>
      </w:tr>
      <w:tr>
        <w:trPr>
          <w:trHeight w:val="397" w:hRule="atLeast"/>
        </w:trPr>
        <w:tc>
          <w:tcPr>
            <w:tcW w:w="375" w:type="pct"/>
            <w:vAlign w:val="center"/>
          </w:tcPr>
          <w:p>
            <w:pPr>
              <w:jc w:val="center"/>
              <w:ind w:firstLine="0"/>
            </w:pPr>
          </w:p>
        </w:tc>
        <w:tc>
          <w:tcPr>
            <w:tcW w:w="1250" w:type="pct"/>
            <w:vAlign w:val="center"/>
          </w:tcPr>
          <w:p>
            <w:pPr>
              <w:jc w:val="left"/>
              <w:ind w:firstLine="0"/>
            </w:pPr>
          </w:p>
        </w:tc>
        <w:tc>
          <w:tcPr>
            <w:tcW w:w="1250" w:type="pct"/>
            <w:vAlign w:val="center"/>
          </w:tcPr>
          <w:p>
            <w:pPr>
              <w:jc w:val="left"/>
              <w:ind w:firstLine="0"/>
            </w:pPr>
          </w:p>
        </w:tc>
        <w:tc>
          <w:tcPr>
            <w:tcW w:w="2125" w:type="pct"/>
            <w:vAlign w:val="center"/>
          </w:tcPr>
          <w:p>
            <w:pPr>
              <w:jc w:val="left"/>
              <w:ind w:firstLine="0"/>
            </w:pPr>
          </w:p>
        </w:tc>
      </w:tr>
      <w:tr>
        <w:trPr>
          <w:trHeight w:val="397" w:hRule="atLeast"/>
        </w:trPr>
        <w:tc>
          <w:tcPr>
            <w:tcW w:w="375" w:type="pct"/>
            <w:vAlign w:val="center"/>
          </w:tcPr>
          <w:p>
            <w:pPr>
              <w:jc w:val="center"/>
              <w:ind w:firstLine="0"/>
            </w:pPr>
          </w:p>
        </w:tc>
        <w:tc>
          <w:tcPr>
            <w:tcW w:w="1250" w:type="pct"/>
            <w:vAlign w:val="center"/>
          </w:tcPr>
          <w:p>
            <w:pPr>
              <w:jc w:val="left"/>
              <w:ind w:firstLine="0"/>
            </w:pPr>
          </w:p>
        </w:tc>
        <w:tc>
          <w:tcPr>
            <w:tcW w:w="1250" w:type="pct"/>
            <w:vAlign w:val="center"/>
          </w:tcPr>
          <w:p>
            <w:pPr>
              <w:jc w:val="left"/>
              <w:ind w:firstLine="0"/>
            </w:pPr>
          </w:p>
        </w:tc>
        <w:tc>
          <w:tcPr>
            <w:tcW w:w="2125" w:type="pct"/>
            <w:vAlign w:val="center"/>
          </w:tcPr>
          <w:p>
            <w:pPr>
              <w:jc w:val="left"/>
              <w:ind w:firstLine="0"/>
            </w:pPr>
          </w:p>
        </w:tc>
      </w:tr>
      <w:tr>
        <w:trPr>
          <w:trHeight w:val="397" w:hRule="atLeast"/>
        </w:trPr>
        <w:tc>
          <w:tcPr>
            <w:tcW w:w="375" w:type="pct"/>
            <w:vAlign w:val="center"/>
          </w:tcPr>
          <w:p>
            <w:pPr>
              <w:jc w:val="center"/>
              <w:ind w:firstLine="0"/>
            </w:pPr>
          </w:p>
        </w:tc>
        <w:tc>
          <w:tcPr>
            <w:tcW w:w="1250" w:type="pct"/>
            <w:vAlign w:val="center"/>
          </w:tcPr>
          <w:p>
            <w:pPr>
              <w:jc w:val="left"/>
              <w:ind w:firstLine="0"/>
            </w:pPr>
          </w:p>
        </w:tc>
        <w:tc>
          <w:tcPr>
            <w:tcW w:w="1250" w:type="pct"/>
            <w:vAlign w:val="center"/>
          </w:tcPr>
          <w:p>
            <w:pPr>
              <w:jc w:val="left"/>
              <w:ind w:firstLine="0"/>
            </w:pPr>
          </w:p>
        </w:tc>
        <w:tc>
          <w:tcPr>
            <w:tcW w:w="2125" w:type="pct"/>
            <w:vAlign w:val="center"/>
          </w:tcPr>
          <w:p>
            <w:pPr>
              <w:jc w:val="left"/>
              <w:ind w:firstLine="0"/>
            </w:pPr>
          </w:p>
        </w:tc>
      </w:tr>
      <w:tr>
        <w:trPr>
          <w:trHeight w:val="397" w:hRule="atLeast"/>
        </w:trPr>
        <w:tc>
          <w:tcPr>
            <w:tcW w:w="375" w:type="pct"/>
            <w:vAlign w:val="center"/>
          </w:tcPr>
          <w:p>
            <w:pPr>
              <w:jc w:val="center"/>
              <w:ind w:firstLine="0"/>
            </w:pPr>
          </w:p>
        </w:tc>
        <w:tc>
          <w:tcPr>
            <w:tcW w:w="1250" w:type="pct"/>
            <w:vAlign w:val="center"/>
          </w:tcPr>
          <w:p>
            <w:pPr>
              <w:jc w:val="left"/>
              <w:ind w:firstLine="0"/>
            </w:pPr>
          </w:p>
        </w:tc>
        <w:tc>
          <w:tcPr>
            <w:tcW w:w="1250" w:type="pct"/>
            <w:vAlign w:val="center"/>
          </w:tcPr>
          <w:p>
            <w:pPr>
              <w:jc w:val="left"/>
              <w:ind w:firstLine="0"/>
            </w:pPr>
          </w:p>
        </w:tc>
        <w:tc>
          <w:tcPr>
            <w:tcW w:w="2125" w:type="pct"/>
            <w:vAlign w:val="center"/>
          </w:tcPr>
          <w:p>
            <w:pPr>
              <w:jc w:val="left"/>
              <w:ind w:firstLine="0"/>
            </w:pPr>
          </w:p>
        </w:tc>
      </w:tr>
      <w:tr>
        <w:trPr>
          <w:trHeight w:val="397" w:hRule="atLeast"/>
        </w:trPr>
        <w:tc>
          <w:tcPr>
            <w:tcW w:w="375" w:type="pct"/>
            <w:vAlign w:val="center"/>
          </w:tcPr>
          <w:p>
            <w:pPr>
              <w:jc w:val="center"/>
              <w:ind w:firstLine="0"/>
            </w:pPr>
          </w:p>
        </w:tc>
        <w:tc>
          <w:tcPr>
            <w:tcW w:w="1250" w:type="pct"/>
            <w:vAlign w:val="center"/>
          </w:tcPr>
          <w:p>
            <w:pPr>
              <w:jc w:val="left"/>
              <w:ind w:firstLine="0"/>
            </w:pPr>
          </w:p>
        </w:tc>
        <w:tc>
          <w:tcPr>
            <w:tcW w:w="1250" w:type="pct"/>
            <w:vAlign w:val="center"/>
          </w:tcPr>
          <w:p>
            <w:pPr>
              <w:jc w:val="left"/>
              <w:ind w:firstLine="0"/>
            </w:pPr>
          </w:p>
        </w:tc>
        <w:tc>
          <w:tcPr>
            <w:tcW w:w="2125" w:type="pct"/>
            <w:vAlign w:val="center"/>
          </w:tcPr>
          <w:p>
            <w:pPr>
              <w:jc w:val="left"/>
              <w:ind w:firstLine="0"/>
            </w:pPr>
          </w:p>
        </w:tc>
      </w:tr>
      <w:tr>
        <w:trPr>
          <w:trHeight w:val="397" w:hRule="atLeast"/>
        </w:trPr>
        <w:tc>
          <w:tcPr>
            <w:tcW w:w="375" w:type="pct"/>
            <w:vAlign w:val="center"/>
          </w:tcPr>
          <w:p>
            <w:pPr>
              <w:jc w:val="center"/>
              <w:ind w:firstLine="0"/>
            </w:pPr>
          </w:p>
        </w:tc>
        <w:tc>
          <w:tcPr>
            <w:tcW w:w="1250" w:type="pct"/>
            <w:vAlign w:val="center"/>
          </w:tcPr>
          <w:p>
            <w:pPr>
              <w:jc w:val="left"/>
              <w:ind w:firstLine="0"/>
            </w:pPr>
          </w:p>
        </w:tc>
        <w:tc>
          <w:tcPr>
            <w:tcW w:w="1250" w:type="pct"/>
            <w:vAlign w:val="center"/>
          </w:tcPr>
          <w:p>
            <w:pPr>
              <w:jc w:val="left"/>
              <w:ind w:firstLine="0"/>
            </w:pPr>
          </w:p>
        </w:tc>
        <w:tc>
          <w:tcPr>
            <w:tcW w:w="2125" w:type="pct"/>
            <w:vAlign w:val="center"/>
          </w:tcPr>
          <w:p>
            <w:pPr>
              <w:jc w:val="left"/>
              <w:ind w:firstLine="0"/>
            </w:pPr>
          </w:p>
        </w:tc>
      </w:tr>
      <w:tr>
        <w:trPr>
          <w:trHeight w:val="397" w:hRule="atLeast"/>
        </w:trPr>
        <w:tc>
          <w:tcPr>
            <w:tcW w:w="375" w:type="pct"/>
            <w:vAlign w:val="center"/>
          </w:tcPr>
          <w:p>
            <w:pPr>
              <w:jc w:val="center"/>
              <w:ind w:firstLine="0"/>
            </w:pPr>
          </w:p>
        </w:tc>
        <w:tc>
          <w:tcPr>
            <w:tcW w:w="1250" w:type="pct"/>
            <w:vAlign w:val="center"/>
          </w:tcPr>
          <w:p>
            <w:pPr>
              <w:jc w:val="left"/>
              <w:ind w:firstLine="0"/>
            </w:pPr>
          </w:p>
        </w:tc>
        <w:tc>
          <w:tcPr>
            <w:tcW w:w="1250" w:type="pct"/>
            <w:vAlign w:val="center"/>
          </w:tcPr>
          <w:p>
            <w:pPr>
              <w:jc w:val="left"/>
              <w:ind w:firstLine="0"/>
            </w:pPr>
          </w:p>
        </w:tc>
        <w:tc>
          <w:tcPr>
            <w:tcW w:w="2125" w:type="pct"/>
            <w:vAlign w:val="center"/>
          </w:tcPr>
          <w:p>
            <w:pPr>
              <w:jc w:val="left"/>
              <w:ind w:firstLine="0"/>
            </w:pPr>
          </w:p>
        </w:tc>
      </w:tr>
      <w:tr>
        <w:trPr>
          <w:trHeight w:val="397" w:hRule="atLeast"/>
        </w:trPr>
        <w:tc>
          <w:tcPr>
            <w:tcW w:w="375" w:type="pct"/>
            <w:vAlign w:val="center"/>
          </w:tcPr>
          <w:p>
            <w:pPr>
              <w:jc w:val="center"/>
              <w:ind w:firstLine="0"/>
            </w:pPr>
          </w:p>
        </w:tc>
        <w:tc>
          <w:tcPr>
            <w:tcW w:w="1250" w:type="pct"/>
            <w:vAlign w:val="center"/>
          </w:tcPr>
          <w:p>
            <w:pPr>
              <w:jc w:val="left"/>
              <w:ind w:firstLine="0"/>
            </w:pPr>
          </w:p>
        </w:tc>
        <w:tc>
          <w:tcPr>
            <w:tcW w:w="1250" w:type="pct"/>
            <w:vAlign w:val="center"/>
          </w:tcPr>
          <w:p>
            <w:pPr>
              <w:jc w:val="left"/>
              <w:ind w:firstLine="0"/>
            </w:pPr>
          </w:p>
        </w:tc>
        <w:tc>
          <w:tcPr>
            <w:tcW w:w="2125" w:type="pct"/>
            <w:vAlign w:val="center"/>
          </w:tcPr>
          <w:p>
            <w:pPr>
              <w:jc w:val="left"/>
              <w:ind w:firstLine="0"/>
            </w:pPr>
          </w:p>
        </w:tc>
      </w:tr>
    </w:tbl>
    <w:p/>
    <w:p>
      <w:pPr>
        <w:ind w:firstLine="425"/>
      </w:pPr>
      <w:r>
        <w:t xml:space="preserve">Итого цена иска: 4200000 рублей.</w:t>
      </w:r>
    </w:p>
    <w:p>
      <w:pPr>
        <w:ind w:firstLine="425"/>
      </w:pPr>
      <w:r>
        <w:t xml:space="preserve">Государственная пошлина: 29200 рублей.</w:t>
      </w:r>
    </w:p>
    <w:p>
      <w:pPr>
        <w:ind w:firstLine="425"/>
      </w:pPr>
      <w:r>
        <w:t xml:space="preserve">Требования об установлении факта принятия наследства и о восстановлении срока в цену иска не включаются и оплачиваются как требования неимущественного характера.</w:t>
      </w:r>
    </w:p>
    <w:p>
      <w:pPr>
        <w:ind w:firstLine="425"/>
      </w:pPr>
      <w:r>
        <w:t xml:space="preserve">Расчёт составил и подписал Истец — Иванов Иван Иванович.</w:t>
      </w:r>
    </w:p>
    <w:p>
      <w:pPr>
        <w:pageBreakBefore/>
      </w:pPr>
    </w:p>
    <w:p>
      <w:pPr>
        <w:jc w:val="right"/>
      </w:pPr>
      <w:r>
        <w:rPr>
          <w:b/>
        </w:rPr>
        <w:t xml:space="preserve">Приложение № 2 к документу</w:t>
      </w:r>
    </w:p>
    <w:p>
      <w:pPr>
        <w:pStyle w:val="DocTitle"/>
      </w:pPr>
      <w:r>
        <w:t xml:space="preserve">Состав наследственного имущества и распределение долей</w:t>
      </w:r>
    </w:p>
    <w:p>
      <w:pPr>
        <w:ind w:firstLine="425"/>
      </w:pPr>
      <w:r>
        <w:t xml:space="preserve">Наследственная масса на день открытия наследства — 14.03.2025; общая стоимость 8400000 рублей.</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07"/>
        <w:gridCol w:w="2367"/>
        <w:gridCol w:w="2706"/>
        <w:gridCol w:w="1691"/>
        <w:gridCol w:w="846"/>
        <w:gridCol w:w="1522"/>
      </w:tblGrid>
      <w:tr>
        <w:tc>
          <w:tcPr>
            <w:tcW w:w="263" w:type="pct"/>
            <w:vAlign w:val="center"/>
          </w:tcPr>
          <w:p>
            <w:pPr>
              <w:jc w:val="center"/>
              <w:ind w:firstLine="0"/>
            </w:pPr>
            <w:r>
              <w:rPr>
                <w:b/>
              </w:rPr>
              <w:t xml:space="preserve">№</w:t>
            </w:r>
          </w:p>
        </w:tc>
        <w:tc>
          <w:tcPr>
            <w:tcW w:w="1228" w:type="pct"/>
            <w:vAlign w:val="center"/>
          </w:tcPr>
          <w:p>
            <w:pPr>
              <w:jc w:val="center"/>
              <w:ind w:firstLine="0"/>
            </w:pPr>
            <w:r>
              <w:rPr>
                <w:b/>
              </w:rPr>
              <w:t xml:space="preserve">Наименование имущества</w:t>
            </w:r>
          </w:p>
        </w:tc>
        <w:tc>
          <w:tcPr>
            <w:tcW w:w="1404" w:type="pct"/>
            <w:vAlign w:val="center"/>
          </w:tcPr>
          <w:p>
            <w:pPr>
              <w:jc w:val="center"/>
              <w:ind w:firstLine="0"/>
            </w:pPr>
            <w:r>
              <w:rPr>
                <w:b/>
              </w:rPr>
              <w:t xml:space="preserve">Идентифицирующие признаки</w:t>
            </w:r>
          </w:p>
        </w:tc>
        <w:tc>
          <w:tcPr>
            <w:tcW w:w="877" w:type="pct"/>
            <w:vAlign w:val="center"/>
          </w:tcPr>
          <w:p>
            <w:pPr>
              <w:jc w:val="center"/>
              <w:ind w:firstLine="0"/>
            </w:pPr>
            <w:r>
              <w:rPr>
                <w:b/>
              </w:rPr>
              <w:t xml:space="preserve">Стоимость, руб.</w:t>
            </w:r>
          </w:p>
        </w:tc>
        <w:tc>
          <w:tcPr>
            <w:tcW w:w="439" w:type="pct"/>
            <w:vAlign w:val="center"/>
          </w:tcPr>
          <w:p>
            <w:pPr>
              <w:jc w:val="center"/>
              <w:ind w:firstLine="0"/>
            </w:pPr>
            <w:r>
              <w:rPr>
                <w:b/>
              </w:rPr>
              <w:t xml:space="preserve">Доля истца</w:t>
            </w:r>
          </w:p>
        </w:tc>
        <w:tc>
          <w:tcPr>
            <w:tcW w:w="790" w:type="pct"/>
            <w:vAlign w:val="center"/>
          </w:tcPr>
          <w:p>
            <w:pPr>
              <w:jc w:val="center"/>
              <w:ind w:firstLine="0"/>
            </w:pPr>
            <w:r>
              <w:rPr>
                <w:b/>
              </w:rPr>
              <w:t xml:space="preserve">Доля ответчика</w:t>
            </w: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1404" w:type="pct"/>
            <w:vAlign w:val="center"/>
          </w:tcPr>
          <w:p>
            <w:pPr>
              <w:jc w:val="left"/>
              <w:ind w:firstLine="0"/>
            </w:pPr>
          </w:p>
        </w:tc>
        <w:tc>
          <w:tcPr>
            <w:tcW w:w="877" w:type="pct"/>
            <w:vAlign w:val="center"/>
          </w:tcPr>
          <w:p>
            <w:pPr>
              <w:jc w:val="left"/>
              <w:ind w:firstLine="0"/>
            </w:pPr>
          </w:p>
        </w:tc>
        <w:tc>
          <w:tcPr>
            <w:tcW w:w="439" w:type="pct"/>
            <w:vAlign w:val="center"/>
          </w:tcPr>
          <w:p>
            <w:pPr>
              <w:jc w:val="left"/>
              <w:ind w:firstLine="0"/>
            </w:pPr>
          </w:p>
        </w:tc>
        <w:tc>
          <w:tcPr>
            <w:tcW w:w="790"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1404" w:type="pct"/>
            <w:vAlign w:val="center"/>
          </w:tcPr>
          <w:p>
            <w:pPr>
              <w:jc w:val="left"/>
              <w:ind w:firstLine="0"/>
            </w:pPr>
          </w:p>
        </w:tc>
        <w:tc>
          <w:tcPr>
            <w:tcW w:w="877" w:type="pct"/>
            <w:vAlign w:val="center"/>
          </w:tcPr>
          <w:p>
            <w:pPr>
              <w:jc w:val="left"/>
              <w:ind w:firstLine="0"/>
            </w:pPr>
          </w:p>
        </w:tc>
        <w:tc>
          <w:tcPr>
            <w:tcW w:w="439" w:type="pct"/>
            <w:vAlign w:val="center"/>
          </w:tcPr>
          <w:p>
            <w:pPr>
              <w:jc w:val="left"/>
              <w:ind w:firstLine="0"/>
            </w:pPr>
          </w:p>
        </w:tc>
        <w:tc>
          <w:tcPr>
            <w:tcW w:w="790"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1404" w:type="pct"/>
            <w:vAlign w:val="center"/>
          </w:tcPr>
          <w:p>
            <w:pPr>
              <w:jc w:val="left"/>
              <w:ind w:firstLine="0"/>
            </w:pPr>
          </w:p>
        </w:tc>
        <w:tc>
          <w:tcPr>
            <w:tcW w:w="877" w:type="pct"/>
            <w:vAlign w:val="center"/>
          </w:tcPr>
          <w:p>
            <w:pPr>
              <w:jc w:val="left"/>
              <w:ind w:firstLine="0"/>
            </w:pPr>
          </w:p>
        </w:tc>
        <w:tc>
          <w:tcPr>
            <w:tcW w:w="439" w:type="pct"/>
            <w:vAlign w:val="center"/>
          </w:tcPr>
          <w:p>
            <w:pPr>
              <w:jc w:val="left"/>
              <w:ind w:firstLine="0"/>
            </w:pPr>
          </w:p>
        </w:tc>
        <w:tc>
          <w:tcPr>
            <w:tcW w:w="790"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1404" w:type="pct"/>
            <w:vAlign w:val="center"/>
          </w:tcPr>
          <w:p>
            <w:pPr>
              <w:jc w:val="left"/>
              <w:ind w:firstLine="0"/>
            </w:pPr>
          </w:p>
        </w:tc>
        <w:tc>
          <w:tcPr>
            <w:tcW w:w="877" w:type="pct"/>
            <w:vAlign w:val="center"/>
          </w:tcPr>
          <w:p>
            <w:pPr>
              <w:jc w:val="left"/>
              <w:ind w:firstLine="0"/>
            </w:pPr>
          </w:p>
        </w:tc>
        <w:tc>
          <w:tcPr>
            <w:tcW w:w="439" w:type="pct"/>
            <w:vAlign w:val="center"/>
          </w:tcPr>
          <w:p>
            <w:pPr>
              <w:jc w:val="left"/>
              <w:ind w:firstLine="0"/>
            </w:pPr>
          </w:p>
        </w:tc>
        <w:tc>
          <w:tcPr>
            <w:tcW w:w="790"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1404" w:type="pct"/>
            <w:vAlign w:val="center"/>
          </w:tcPr>
          <w:p>
            <w:pPr>
              <w:jc w:val="left"/>
              <w:ind w:firstLine="0"/>
            </w:pPr>
          </w:p>
        </w:tc>
        <w:tc>
          <w:tcPr>
            <w:tcW w:w="877" w:type="pct"/>
            <w:vAlign w:val="center"/>
          </w:tcPr>
          <w:p>
            <w:pPr>
              <w:jc w:val="left"/>
              <w:ind w:firstLine="0"/>
            </w:pPr>
          </w:p>
        </w:tc>
        <w:tc>
          <w:tcPr>
            <w:tcW w:w="439" w:type="pct"/>
            <w:vAlign w:val="center"/>
          </w:tcPr>
          <w:p>
            <w:pPr>
              <w:jc w:val="left"/>
              <w:ind w:firstLine="0"/>
            </w:pPr>
          </w:p>
        </w:tc>
        <w:tc>
          <w:tcPr>
            <w:tcW w:w="790"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1404" w:type="pct"/>
            <w:vAlign w:val="center"/>
          </w:tcPr>
          <w:p>
            <w:pPr>
              <w:jc w:val="left"/>
              <w:ind w:firstLine="0"/>
            </w:pPr>
          </w:p>
        </w:tc>
        <w:tc>
          <w:tcPr>
            <w:tcW w:w="877" w:type="pct"/>
            <w:vAlign w:val="center"/>
          </w:tcPr>
          <w:p>
            <w:pPr>
              <w:jc w:val="left"/>
              <w:ind w:firstLine="0"/>
            </w:pPr>
          </w:p>
        </w:tc>
        <w:tc>
          <w:tcPr>
            <w:tcW w:w="439" w:type="pct"/>
            <w:vAlign w:val="center"/>
          </w:tcPr>
          <w:p>
            <w:pPr>
              <w:jc w:val="left"/>
              <w:ind w:firstLine="0"/>
            </w:pPr>
          </w:p>
        </w:tc>
        <w:tc>
          <w:tcPr>
            <w:tcW w:w="790"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1404" w:type="pct"/>
            <w:vAlign w:val="center"/>
          </w:tcPr>
          <w:p>
            <w:pPr>
              <w:jc w:val="left"/>
              <w:ind w:firstLine="0"/>
            </w:pPr>
          </w:p>
        </w:tc>
        <w:tc>
          <w:tcPr>
            <w:tcW w:w="877" w:type="pct"/>
            <w:vAlign w:val="center"/>
          </w:tcPr>
          <w:p>
            <w:pPr>
              <w:jc w:val="left"/>
              <w:ind w:firstLine="0"/>
            </w:pPr>
          </w:p>
        </w:tc>
        <w:tc>
          <w:tcPr>
            <w:tcW w:w="439" w:type="pct"/>
            <w:vAlign w:val="center"/>
          </w:tcPr>
          <w:p>
            <w:pPr>
              <w:jc w:val="left"/>
              <w:ind w:firstLine="0"/>
            </w:pPr>
          </w:p>
        </w:tc>
        <w:tc>
          <w:tcPr>
            <w:tcW w:w="790"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1404" w:type="pct"/>
            <w:vAlign w:val="center"/>
          </w:tcPr>
          <w:p>
            <w:pPr>
              <w:jc w:val="left"/>
              <w:ind w:firstLine="0"/>
            </w:pPr>
          </w:p>
        </w:tc>
        <w:tc>
          <w:tcPr>
            <w:tcW w:w="877" w:type="pct"/>
            <w:vAlign w:val="center"/>
          </w:tcPr>
          <w:p>
            <w:pPr>
              <w:jc w:val="left"/>
              <w:ind w:firstLine="0"/>
            </w:pPr>
          </w:p>
        </w:tc>
        <w:tc>
          <w:tcPr>
            <w:tcW w:w="439" w:type="pct"/>
            <w:vAlign w:val="center"/>
          </w:tcPr>
          <w:p>
            <w:pPr>
              <w:jc w:val="left"/>
              <w:ind w:firstLine="0"/>
            </w:pPr>
          </w:p>
        </w:tc>
        <w:tc>
          <w:tcPr>
            <w:tcW w:w="790"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1404" w:type="pct"/>
            <w:vAlign w:val="center"/>
          </w:tcPr>
          <w:p>
            <w:pPr>
              <w:jc w:val="left"/>
              <w:ind w:firstLine="0"/>
            </w:pPr>
          </w:p>
        </w:tc>
        <w:tc>
          <w:tcPr>
            <w:tcW w:w="877" w:type="pct"/>
            <w:vAlign w:val="center"/>
          </w:tcPr>
          <w:p>
            <w:pPr>
              <w:jc w:val="left"/>
              <w:ind w:firstLine="0"/>
            </w:pPr>
          </w:p>
        </w:tc>
        <w:tc>
          <w:tcPr>
            <w:tcW w:w="439" w:type="pct"/>
            <w:vAlign w:val="center"/>
          </w:tcPr>
          <w:p>
            <w:pPr>
              <w:jc w:val="left"/>
              <w:ind w:firstLine="0"/>
            </w:pPr>
          </w:p>
        </w:tc>
        <w:tc>
          <w:tcPr>
            <w:tcW w:w="790"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1404" w:type="pct"/>
            <w:vAlign w:val="center"/>
          </w:tcPr>
          <w:p>
            <w:pPr>
              <w:jc w:val="left"/>
              <w:ind w:firstLine="0"/>
            </w:pPr>
          </w:p>
        </w:tc>
        <w:tc>
          <w:tcPr>
            <w:tcW w:w="877" w:type="pct"/>
            <w:vAlign w:val="center"/>
          </w:tcPr>
          <w:p>
            <w:pPr>
              <w:jc w:val="left"/>
              <w:ind w:firstLine="0"/>
            </w:pPr>
          </w:p>
        </w:tc>
        <w:tc>
          <w:tcPr>
            <w:tcW w:w="439" w:type="pct"/>
            <w:vAlign w:val="center"/>
          </w:tcPr>
          <w:p>
            <w:pPr>
              <w:jc w:val="left"/>
              <w:ind w:firstLine="0"/>
            </w:pPr>
          </w:p>
        </w:tc>
        <w:tc>
          <w:tcPr>
            <w:tcW w:w="790"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1404" w:type="pct"/>
            <w:vAlign w:val="center"/>
          </w:tcPr>
          <w:p>
            <w:pPr>
              <w:jc w:val="left"/>
              <w:ind w:firstLine="0"/>
            </w:pPr>
          </w:p>
        </w:tc>
        <w:tc>
          <w:tcPr>
            <w:tcW w:w="877" w:type="pct"/>
            <w:vAlign w:val="center"/>
          </w:tcPr>
          <w:p>
            <w:pPr>
              <w:jc w:val="left"/>
              <w:ind w:firstLine="0"/>
            </w:pPr>
          </w:p>
        </w:tc>
        <w:tc>
          <w:tcPr>
            <w:tcW w:w="439" w:type="pct"/>
            <w:vAlign w:val="center"/>
          </w:tcPr>
          <w:p>
            <w:pPr>
              <w:jc w:val="left"/>
              <w:ind w:firstLine="0"/>
            </w:pPr>
          </w:p>
        </w:tc>
        <w:tc>
          <w:tcPr>
            <w:tcW w:w="790"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1404" w:type="pct"/>
            <w:vAlign w:val="center"/>
          </w:tcPr>
          <w:p>
            <w:pPr>
              <w:jc w:val="left"/>
              <w:ind w:firstLine="0"/>
            </w:pPr>
          </w:p>
        </w:tc>
        <w:tc>
          <w:tcPr>
            <w:tcW w:w="877" w:type="pct"/>
            <w:vAlign w:val="center"/>
          </w:tcPr>
          <w:p>
            <w:pPr>
              <w:jc w:val="left"/>
              <w:ind w:firstLine="0"/>
            </w:pPr>
          </w:p>
        </w:tc>
        <w:tc>
          <w:tcPr>
            <w:tcW w:w="439" w:type="pct"/>
            <w:vAlign w:val="center"/>
          </w:tcPr>
          <w:p>
            <w:pPr>
              <w:jc w:val="left"/>
              <w:ind w:firstLine="0"/>
            </w:pPr>
          </w:p>
        </w:tc>
        <w:tc>
          <w:tcPr>
            <w:tcW w:w="790" w:type="pct"/>
            <w:vAlign w:val="center"/>
          </w:tcPr>
          <w:p>
            <w:pPr>
              <w:jc w:val="left"/>
              <w:ind w:firstLine="0"/>
            </w:pPr>
          </w:p>
        </w:tc>
      </w:tr>
    </w:tbl>
    <w:p/>
    <w:p>
      <w:pPr>
        <w:ind w:firstLine="425"/>
      </w:pPr>
      <w:r>
        <w:t xml:space="preserve">Доля, на которую претендует Истец: 1/2 доли в праве общей долевой собственности.</w:t>
      </w:r>
    </w:p>
    <w:p>
      <w:pPr>
        <w:ind w:firstLine="425"/>
      </w:pPr>
      <w:r>
        <w:t xml:space="preserve">Предлагаемый порядок раздела: квартиру передать истцу с выплатой ответчику денежной компенсации, автомобиль и денежные вклады передать ответчику.</w:t>
      </w:r>
    </w:p>
    <w:p>
      <w:pPr>
        <w:ind w:firstLine="425"/>
      </w:pPr>
      <w:r>
        <w:t xml:space="preserve">Денежная компенсация за несоразмерность доли: 1800000 рублей.</w:t>
      </w:r>
    </w:p>
    <w:p>
      <w:pPr>
        <w:pageBreakBefore/>
      </w:pPr>
    </w:p>
    <w:p>
      <w:pPr>
        <w:jc w:val="right"/>
      </w:pPr>
      <w:r>
        <w:rPr>
          <w:b/>
        </w:rPr>
        <w:t xml:space="preserve">Приложение № 3 к документу</w:t>
      </w:r>
    </w:p>
    <w:p>
      <w:pPr>
        <w:pStyle w:val="DocTitle"/>
      </w:pPr>
      <w:r>
        <w:t xml:space="preserve">Расчёт долга наследодателя</w:t>
      </w:r>
    </w:p>
    <w:p>
      <w:pPr>
        <w:ind w:firstLine="425"/>
      </w:pPr>
      <w:r>
        <w:t xml:space="preserve">Основание долга: кредитный договор от 12.04.2023 № 4455-КД, исполненный истцом как поручителем; период образования задолженности — с 01.02.2025 по 31.12.2025.</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26"/>
        <w:gridCol w:w="1577"/>
        <w:gridCol w:w="1753"/>
        <w:gridCol w:w="1753"/>
        <w:gridCol w:w="1577"/>
        <w:gridCol w:w="2453"/>
      </w:tblGrid>
      <w:tr>
        <w:tc>
          <w:tcPr>
            <w:tcW w:w="273" w:type="pct"/>
            <w:vAlign w:val="center"/>
          </w:tcPr>
          <w:p>
            <w:pPr>
              <w:jc w:val="center"/>
              <w:ind w:firstLine="0"/>
            </w:pPr>
            <w:r>
              <w:rPr>
                <w:b/>
              </w:rPr>
              <w:t xml:space="preserve">№</w:t>
            </w:r>
          </w:p>
        </w:tc>
        <w:tc>
          <w:tcPr>
            <w:tcW w:w="818" w:type="pct"/>
            <w:vAlign w:val="center"/>
          </w:tcPr>
          <w:p>
            <w:pPr>
              <w:jc w:val="center"/>
              <w:ind w:firstLine="0"/>
            </w:pPr>
            <w:r>
              <w:rPr>
                <w:b/>
              </w:rPr>
              <w:t xml:space="preserve">Период</w:t>
            </w:r>
          </w:p>
        </w:tc>
        <w:tc>
          <w:tcPr>
            <w:tcW w:w="909" w:type="pct"/>
            <w:vAlign w:val="center"/>
          </w:tcPr>
          <w:p>
            <w:pPr>
              <w:jc w:val="center"/>
              <w:ind w:firstLine="0"/>
            </w:pPr>
            <w:r>
              <w:rPr>
                <w:b/>
              </w:rPr>
              <w:t xml:space="preserve">Основание начисления</w:t>
            </w:r>
          </w:p>
        </w:tc>
        <w:tc>
          <w:tcPr>
            <w:tcW w:w="909" w:type="pct"/>
            <w:vAlign w:val="center"/>
          </w:tcPr>
          <w:p>
            <w:pPr>
              <w:jc w:val="center"/>
              <w:ind w:firstLine="0"/>
            </w:pPr>
            <w:r>
              <w:rPr>
                <w:b/>
              </w:rPr>
              <w:t xml:space="preserve">Начислено, руб.</w:t>
            </w:r>
          </w:p>
        </w:tc>
        <w:tc>
          <w:tcPr>
            <w:tcW w:w="818" w:type="pct"/>
            <w:vAlign w:val="center"/>
          </w:tcPr>
          <w:p>
            <w:pPr>
              <w:jc w:val="center"/>
              <w:ind w:firstLine="0"/>
            </w:pPr>
            <w:r>
              <w:rPr>
                <w:b/>
              </w:rPr>
              <w:t xml:space="preserve">Оплачено, руб.</w:t>
            </w:r>
          </w:p>
        </w:tc>
        <w:tc>
          <w:tcPr>
            <w:tcW w:w="1273" w:type="pct"/>
            <w:vAlign w:val="center"/>
          </w:tcPr>
          <w:p>
            <w:pPr>
              <w:jc w:val="center"/>
              <w:ind w:firstLine="0"/>
            </w:pPr>
            <w:r>
              <w:rPr>
                <w:b/>
              </w:rPr>
              <w:t xml:space="preserve">Задолженность, руб.</w:t>
            </w:r>
          </w:p>
        </w:tc>
      </w:tr>
      <w:tr>
        <w:trPr>
          <w:trHeight w:val="397" w:hRule="atLeast"/>
        </w:trPr>
        <w:tc>
          <w:tcPr>
            <w:tcW w:w="273" w:type="pct"/>
            <w:vAlign w:val="center"/>
          </w:tcPr>
          <w:p>
            <w:pPr>
              <w:jc w:val="center"/>
              <w:ind w:firstLine="0"/>
            </w:pPr>
          </w:p>
        </w:tc>
        <w:tc>
          <w:tcPr>
            <w:tcW w:w="818"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818"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818"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818"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818"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818"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818"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818"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818"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818"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818"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818"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818"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818"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818"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818"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818"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818"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818"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818" w:type="pct"/>
            <w:vAlign w:val="center"/>
          </w:tcPr>
          <w:p>
            <w:pPr>
              <w:jc w:val="left"/>
              <w:ind w:firstLine="0"/>
            </w:pPr>
          </w:p>
        </w:tc>
        <w:tc>
          <w:tcPr>
            <w:tcW w:w="1273" w:type="pct"/>
            <w:vAlign w:val="center"/>
          </w:tcPr>
          <w:p>
            <w:pPr>
              <w:jc w:val="left"/>
              <w:ind w:firstLine="0"/>
            </w:pPr>
          </w:p>
        </w:tc>
      </w:tr>
    </w:tbl>
    <w:p/>
    <w:p>
      <w:pPr>
        <w:ind w:firstLine="425"/>
      </w:pPr>
      <w:r>
        <w:t xml:space="preserve">Итого долг наследодателя: 620000 рублей.</w:t>
      </w:r>
    </w:p>
    <w:p>
      <w:pPr>
        <w:ind w:firstLine="425"/>
      </w:pPr>
      <w:r>
        <w:t xml:space="preserve">Ответственность каждого наследника ограничена стоимостью перешедшего к нему наследственного имущества — 8400000 рублей.</w:t>
      </w:r>
    </w:p>
    <w:p>
      <w:pPr>
        <w:pStyle w:val="ClauseHeading"/>
      </w:pPr>
      <w:r>
        <w:rPr>
          <w:b/>
        </w:rPr>
        <w:t xml:space="preserve">17. Реквизиты и подпись</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Истец</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Истец ____________ / Иванов И. И.</w:t>
            </w:r>
          </w:p>
        </w:tc>
        <w:tc>
          <w:tcPr>
            <w:tcW w:w="4820" w:type="dxa"/>
          </w:tcPr>
          <w:p/>
        </w:tc>
      </w:tr>
    </w:tbl>
    <w:p/>
    <w:p>
      <w:pPr>
        <w:spacing w:before="360"/>
        <w:pBdr>
          <w:top w:val="single" w:sz="4" w:space="6" w:color="CCCCCC"/>
        </w:pBdr>
        <w:jc w:val="left"/>
      </w:pPr>
      <w:r>
        <w:rPr>
          <w:i/>
          <w:sz w:val="16"/>
          <w:color w:val="808080"/>
        </w:rPr>
        <w:t xml:space="preserve">Образец заполнения «Исковое заявление по наследственным спорам» с сайта primadoc.ru. Документ, заполненный под вашу ситуацию, собирается в конструкторе: https://primadoc.ru/doc/iskovoe-zayavlenie-po-nasledstvennym-sporam</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Исковое заявление по наследственным спорам — образец заполнения</dc:title>
  <dc:creator>Примадок</dc:creator>
  <dcterms:created xsi:type="dcterms:W3CDTF">2026-09-13T13:27:39Z</dcterms:created>
</cp:coreProperties>
</file>