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ind w:left="4820"/>
        <w:jc w:val="left"/>
      </w:pPr>
      <w:r>
        <w:t xml:space="preserve">В Арбитражный суд города Москвы.</w:t>
      </w:r>
    </w:p>
    <w:p>
      <w:pPr>
        <w:ind w:left="4820"/>
        <w:jc w:val="left"/>
      </w:pPr>
      <w:r>
        <w:t xml:space="preserve">Истец: Иванов Иван Иванович; адрес, телефон и реквизиты указаны в реквизитах истца.</w:t>
      </w:r>
    </w:p>
    <w:p>
      <w:pPr>
        <w:ind w:left="4820"/>
        <w:jc w:val="left"/>
      </w:pPr>
      <w:r>
        <w:t xml:space="preserve">Ответчик: ООО «Торговый дом «Ампир», адрес: 115088, г. Москва, ул. Шарикоподшипниковская, д. 4, стр. 1, оф. 210, ИНН 7723456789, ОГРН 1157746123456, телефон и электронная почта: +7 495 987-65-43, sales@ampir.ru.</w:t>
      </w:r>
    </w:p>
    <w:p>
      <w:pPr>
        <w:ind w:left="4820"/>
        <w:jc w:val="left"/>
      </w:pPr>
      <w:r>
        <w:t xml:space="preserve">Третьи лица, не заявляющие самостоятельных требований: не привлекаются.</w:t>
      </w:r>
    </w:p>
    <w:p>
      <w:pPr>
        <w:ind w:left="4820"/>
        <w:jc w:val="left"/>
      </w:pPr>
      <w:r>
        <w:t xml:space="preserve">Цена иска: 1240000 рублей. Государственная пошлина: 42000 рублей — Уплачена, платёжное поручение прилагается.</w:t>
      </w:r>
    </w:p>
    <w:p>
      <w:pPr>
        <w:ind w:left="4820"/>
        <w:jc w:val="left"/>
      </w:pPr>
      <w:r>
        <w:t xml:space="preserve">Сведения о сторонах, требованиях, расчёте взыскиваемой суммы и перечень прилагаемых документов приводятся в заявлении в силу требований к его форме и содержанию (ст. 125 АПК).</w:t>
      </w:r>
    </w:p>
    <w:p>
      <w:pPr>
        <w:pStyle w:val="DocTitle"/>
      </w:pPr>
      <w:r>
        <w:t xml:space="preserve">ИСКОВОЕ ЗАЯВЛЕНИЕ по договору поставки</w:t>
      </w:r>
    </w:p>
    <w:p>
      <w:pPr>
        <w:jc w:val="center"/>
        <w:spacing w:after="160"/>
      </w:pPr>
      <w:r>
        <w:t xml:space="preserve">{{field.claim_subject}}</w:t>
      </w:r>
    </w:p>
    <w:p>
      <w:pPr>
        <w:tabs>
          <w:tab w:val="right" w:pos="9639"/>
        </w:tabs>
        <w:spacing w:after="240"/>
      </w:pPr>
      <w:r>
        <w:t xml:space="preserve">г. Москва</w:t>
      </w:r>
      <w:r>
        <w:tab/>
        <w:t xml:space="preserve">«12» марта 2026 г.</w:t>
      </w:r>
    </w:p>
    <w:p>
      <w:pPr>
        <w:pStyle w:val="ClauseHeading"/>
      </w:pPr>
      <w:r>
        <w:rPr>
          <w:b/>
        </w:rPr>
        <w:t xml:space="preserve">1. Обстоятельства дела: договор и его исполнение</w:t>
      </w:r>
    </w:p>
    <w:p>
      <w:pPr>
        <w:ind w:firstLine="425"/>
      </w:pPr>
      <w:r>
        <w:t xml:space="preserve">1.1. Между Истцом и Ответчиком заключён договор поставки от 15.01.2025 № П-114/2025 (далее — Договор).</w:t>
      </w:r>
    </w:p>
    <w:p>
      <w:pPr>
        <w:ind w:firstLine="425"/>
      </w:pPr>
      <w:r>
        <w:t xml:space="preserve">1.2. В настоящем споре Истец выступает как Поставщик.</w:t>
      </w:r>
    </w:p>
    <w:p>
      <w:pPr>
        <w:ind w:firstLine="425"/>
      </w:pPr>
      <w:r>
        <w:t xml:space="preserve">1.3. Предмет Договора: керамическая плитка и клеевые смеси в ассортименте согласно спецификации № 3 от 12.02.2026. Наименование, ассортимент и количество согласованы документом: спецификация № 3 от 12.02.2026 на сумму 1 480 000 рублей; сумма — 1480000 рублей.</w:t>
      </w:r>
    </w:p>
    <w:p>
      <w:pPr>
        <w:ind w:firstLine="425"/>
      </w:pPr>
      <w:r>
        <w:t xml:space="preserve">1.4. Срок поставки установлен Договором: в течение 10 рабочих дней со дня оплаты счёта.</w:t>
      </w:r>
    </w:p>
    <w:p>
      <w:pPr>
        <w:ind w:firstLine="425"/>
      </w:pPr>
      <w:r>
        <w:t xml:space="preserve">1.5. Порядок передачи товара: Доставка транспортом поставщика.</w:t>
      </w:r>
    </w:p>
    <w:p>
      <w:pPr>
        <w:ind w:firstLine="425"/>
      </w:pPr>
      <w:r>
        <w:t xml:space="preserve">1.6. Порядок и срок оплаты: оплата в течение 15 календарных дней с даты поставки партии.</w:t>
      </w:r>
    </w:p>
    <w:p>
      <w:pPr>
        <w:ind w:firstLine="425"/>
      </w:pPr>
      <w:r>
        <w:t xml:space="preserve">1.7. По Договору поставщик обязуется передать в обусловленный срок производимые или закупаемые им товары покупателю для использования в предпринимательской деятельности (ст. 506 ГК).</w:t>
      </w:r>
    </w:p>
    <w:p>
      <w:pPr>
        <w:ind w:firstLine="425"/>
      </w:pPr>
      <w:r>
        <w:t xml:space="preserve">1.8. Исполнение подтверждается документами: универсальные передаточные документы № 145 от 20.02.2026, № 151 от 27.02.2026, транспортная накладная № 88. Поставлено товара на сумму 1240000 рублей, оплачено 300000 рублей; предварительная оплата 740000 рублей внесена 12.02.2026.</w:t>
      </w:r>
    </w:p>
    <w:p>
      <w:pPr>
        <w:ind w:firstLine="425"/>
      </w:pPr>
      <w:r>
        <w:t xml:space="preserve">1.9. Состояние расчётов подтверждается документом: акт сверки взаимных расчётов по состоянию на 28.02.2026, подписанный обеими сторонами.</w:t>
      </w:r>
    </w:p>
    <w:p>
      <w:pPr>
        <w:ind w:firstLine="425"/>
      </w:pPr>
      <w:r>
        <w:t xml:space="preserve">2.1. Нарушение выражается в следующем: Ответчик принял товар по УПД № 145 и № 151, но оплату в установленный договором срок не произвёл; на претензию не ответил.</w:t>
      </w:r>
    </w:p>
    <w:p>
      <w:pPr>
        <w:ind w:firstLine="425"/>
      </w:pPr>
      <w:r>
        <w:t xml:space="preserve">2.2. Нарушение длится с 07.03.2026 и на день подачи заявления не устранено.</w:t>
      </w:r>
    </w:p>
    <w:p>
      <w:pPr>
        <w:ind w:firstLine="425"/>
      </w:pPr>
      <w:r>
        <w:t xml:space="preserve">2.3. Обстоятельства подтверждаются доказательствами: договор со спецификацией, УПД с отметками о приёмке, акт сверки, платёжные поручения, переписка сторон по электронной почте.</w:t>
      </w:r>
    </w:p>
    <w:p>
      <w:pPr>
        <w:ind w:firstLine="425"/>
      </w:pPr>
      <w:r>
        <w:t xml:space="preserve">2.4. Обязательства должны исполняться надлежащим образом в соответствии с условиями обязательства и требованиями закона (ст. 309 ГК).</w:t>
      </w:r>
    </w:p>
    <w:p>
      <w:pPr>
        <w:ind w:firstLine="425"/>
      </w:pPr>
      <w:r>
        <w:t xml:space="preserve">2.5.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(ст. 310 ГК).</w:t>
      </w:r>
    </w:p>
    <w:p>
      <w:pPr>
        <w:ind w:firstLine="425"/>
      </w:pPr>
      <w:r>
        <w:t xml:space="preserve">2.6. Если обязательство предусматривает день его исполнения, оно подлежит исполнению в этот день (ст. 314 ГК).</w:t>
      </w:r>
    </w:p>
    <w:p>
      <w:pPr>
        <w:pStyle w:val="ClauseHeading"/>
      </w:pPr>
      <w:r>
        <w:rPr>
          <w:b/>
        </w:rPr>
        <w:t xml:space="preserve">3. Основание требования: задолженность за поставленный товар</w:t>
      </w:r>
    </w:p>
    <w:p>
      <w:pPr>
        <w:ind w:firstLine="425"/>
      </w:pPr>
      <w:r>
        <w:t xml:space="preserve">3.1. Покупатель оплачивает поставляемые товары с соблюдением порядка и формы расчётов, предусмотренных договором поставки, а если стороны их не определили — платёжными поручениями (ст. 516 ГК).</w:t>
      </w:r>
    </w:p>
    <w:p>
      <w:pPr>
        <w:ind w:firstLine="425"/>
      </w:pPr>
      <w:r>
        <w:t xml:space="preserve">3.2. Покупатель обязан оплатить товар непосредственно до или после передачи ему товара продавцом, если иное не предусмотрено договором или законом (ст. 486 ГК).</w:t>
      </w:r>
    </w:p>
    <w:p>
      <w:pPr>
        <w:ind w:firstLine="425"/>
      </w:pPr>
      <w:r>
        <w:t xml:space="preserve">3.3. Покупатель обязан совершить действия, обеспечивающие принятие товаров, осмотреть их и проверить количество и качество в установленный срок; принятие товара без замечаний подтверждает надлежащее исполнение поставщиком (ст. 513 ГК).</w:t>
      </w:r>
    </w:p>
    <w:p>
      <w:pPr>
        <w:ind w:firstLine="425"/>
      </w:pPr>
      <w:r>
        <w:t xml:space="preserve">3.4. Товар принят Ответчиком без замечаний по документам: универсальные передаточные документы № 145 от 20.02.2026, № 151 от 27.02.2026, транспортная накладная № 88, что подтверждается подписями и печатями получателя.</w:t>
      </w:r>
    </w:p>
    <w:p>
      <w:pPr>
        <w:ind w:firstLine="425"/>
      </w:pPr>
      <w:r>
        <w:t xml:space="preserve">3.5. Задолженность Ответчика составляет 940000 рублей и образовалась по поставкам от 20.02.2026 и 27.02.2026; расчёт приведён в Приложение № 2.</w:t>
      </w:r>
    </w:p>
    <w:p>
      <w:pPr>
        <w:ind w:firstLine="425"/>
      </w:pPr>
      <w:r>
        <w:t xml:space="preserve">3.6. Обязательство по оплате в добровольном порядке не исполнено, доказательств оплаты Ответчик не представил.</w:t>
      </w:r>
    </w:p>
    <w:p>
      <w:pPr>
        <w:pStyle w:val="ClauseHeading"/>
      </w:pPr>
      <w:r>
        <w:rPr>
          <w:b/>
        </w:rPr>
        <w:t xml:space="preserve">4. Основание требования: неустойка за просрочку оплаты</w:t>
      </w:r>
    </w:p>
    <w:p>
      <w:pPr>
        <w:ind w:firstLine="425"/>
      </w:pPr>
      <w:r>
        <w:t xml:space="preserve">4.1. Неустойкой признаётся определённая законом или договором денежная сумма, которую должник обязан уплатить кредитору в случае неисполнения или ненадлежащего исполнения обязательства.</w:t>
      </w:r>
    </w:p>
    <w:p>
      <w:pPr>
        <w:ind w:firstLine="425"/>
      </w:pPr>
      <w:r>
        <w:t xml:space="preserve">4.2. По требованию об уплате неустойки кредитор не обязан доказывать причинение ему убытков (ст. 330 ГК).</w:t>
      </w:r>
    </w:p>
    <w:p>
      <w:pPr>
        <w:ind w:firstLine="425"/>
      </w:pPr>
      <w:r>
        <w:t xml:space="preserve">4.3. Соглашение о неустойке должно быть совершено в письменной форме независимо от формы основного обязательства (ст. 331 ГК).</w:t>
      </w:r>
    </w:p>
    <w:p>
      <w:pPr>
        <w:ind w:firstLine="425"/>
      </w:pPr>
      <w:r>
        <w:t xml:space="preserve">4.4. Договором предусмотрена санкция: Пеня по договору за каждый день просрочки.</w:t>
      </w:r>
    </w:p>
    <w:p>
      <w:pPr>
        <w:ind w:firstLine="425"/>
      </w:pPr>
      <w:r>
        <w:t xml:space="preserve">4.5. Ставка — 0,1 процента за каждый день просрочки.</w:t>
      </w:r>
    </w:p>
    <w:p>
      <w:pPr>
        <w:ind w:firstLine="425"/>
      </w:pPr>
      <w:r>
        <w:t xml:space="preserve">4.6. При отсутствии договорной неустойки за пользование чужими денежными средствами вследствие их неправомерного удержания или уклонения от возврата подлежат уплате проценты, размер которых определяется ключевой ставкой Банка России, действовавшей в соответствующие периоды (ст. 395 ГК).</w:t>
      </w:r>
    </w:p>
    <w:p>
      <w:pPr>
        <w:ind w:firstLine="425"/>
      </w:pPr>
      <w:r>
        <w:t xml:space="preserve">4.7. Сумма санкции по состоянию на 10.04.2026 составляет 84600 рублей.</w:t>
      </w:r>
    </w:p>
    <w:p>
      <w:pPr>
        <w:ind w:firstLine="425"/>
      </w:pPr>
      <w:r>
        <w:t xml:space="preserve">4.8. Помесячный расчёт приведён в Приложение № 3.</w:t>
      </w:r>
    </w:p>
    <w:p>
      <w:pPr>
        <w:ind w:firstLine="425"/>
      </w:pPr>
      <w:r>
        <w:t xml:space="preserve">4.9. Начисление продолжается по день фактической уплаты долга, поэтому Истец просит взыскать неустойку и на будущее время.</w:t>
      </w:r>
    </w:p>
    <w:p>
      <w:pPr>
        <w:pStyle w:val="ClauseHeading"/>
      </w:pPr>
      <w:r>
        <w:rPr>
          <w:b/>
        </w:rPr>
        <w:t xml:space="preserve">5. Основание требования: неустойка за просрочку поставки и недопоставку</w:t>
      </w:r>
    </w:p>
    <w:p>
      <w:pPr>
        <w:ind w:firstLine="425"/>
      </w:pPr>
      <w:r>
        <w:t xml:space="preserve">5.1. Поставщик, допустивший недопоставку товаров в отдельном периоде, обязан восполнить недопоставленное количество в следующем периоде в пределах срока действия договора, если иное им не предусмотрено (ст. 511 ГК).</w:t>
      </w:r>
    </w:p>
    <w:p>
      <w:pPr>
        <w:ind w:firstLine="425"/>
      </w:pPr>
      <w:r>
        <w:t xml:space="preserve">5.2. Установленная законом или договором неустойка за недопоставку или просрочку поставки товаров взыскивается с поставщика до фактического исполнения обязательства в пределах его обязанности восполнить недопоставленное количество в последующих периодах, если иной порядок не установлен законом или договором (ст. 521 ГК).</w:t>
      </w:r>
    </w:p>
    <w:p>
      <w:pPr>
        <w:ind w:firstLine="425"/>
      </w:pPr>
      <w:r>
        <w:t xml:space="preserve">5.3. Поставка товаров отдельными партиями в течение срока действия договора производится в периоды, определённые договором, а при их отсутствии — равномерными партиями помесячно (ст. 508 ГК).</w:t>
      </w:r>
    </w:p>
    <w:p>
      <w:pPr>
        <w:ind w:firstLine="425"/>
      </w:pPr>
      <w:r>
        <w:t xml:space="preserve">5.4. Недопоставка выражается в следующем: не поставлено 420 кв. м керамогранита из 1 200 кв. м, предусмотренных спецификацией № 3; стоимость непоставленного товара составляет 740000 рублей.</w:t>
      </w:r>
    </w:p>
    <w:p>
      <w:pPr>
        <w:ind w:firstLine="425"/>
      </w:pPr>
      <w:r>
        <w:t xml:space="preserve">5.5. Заявленная санкция: Пеня по договору за каждый день просрочки, ставка — 0,1 процента за каждый день просрочки; сумма на 10.04.2026 составляет 84600 рублей, расчёт приведён в Приложение № 3.</w:t>
      </w:r>
    </w:p>
    <w:p>
      <w:pPr>
        <w:ind w:firstLine="425"/>
      </w:pPr>
      <w:r>
        <w:t xml:space="preserve">5.6. При неисполнении требования об уплате неустойки в добровольном порядке она взыскивается в судебном порядке (ст. 330 ГК).</w:t>
      </w:r>
    </w:p>
    <w:p>
      <w:pPr>
        <w:pStyle w:val="ClauseHeading"/>
      </w:pPr>
      <w:r>
        <w:rPr>
          <w:b/>
        </w:rPr>
        <w:t xml:space="preserve">6. Основание требования: возврат предварительной оплаты</w:t>
      </w:r>
    </w:p>
    <w:p>
      <w:pPr>
        <w:ind w:firstLine="425"/>
      </w:pPr>
      <w:r>
        <w:t xml:space="preserve">6.1. Если продавец, получивший сумму предварительной оплаты, не исполняет обязанность по передаче товара в установленный срок, покупатель вправе потребовать передачи оплаченного товара или возврата суммы предварительной оплаты за товар, не переданный продавцом (ст. 487 ГК).</w:t>
      </w:r>
    </w:p>
    <w:p>
      <w:pPr>
        <w:ind w:firstLine="425"/>
      </w:pPr>
      <w:r>
        <w:t xml:space="preserve">6.2. На сумму предварительной оплаты подлежат уплате проценты со дня, когда по договору передача товара должна была быть произведена, до дня передачи товара покупателю или возврата ему предварительно уплаченной суммы (ст. 487 ГК).</w:t>
      </w:r>
    </w:p>
    <w:p>
      <w:pPr>
        <w:ind w:firstLine="425"/>
      </w:pPr>
      <w:r>
        <w:t xml:space="preserve">6.3. В случае непредоставления обязанной стороной обусловленного исполнения сторона, на которой лежит встречное исполнение, вправе отказаться от исполнения и потребовать возмещения убытков (ст. 328 ГК).</w:t>
      </w:r>
    </w:p>
    <w:p>
      <w:pPr>
        <w:ind w:firstLine="425"/>
      </w:pPr>
      <w:r>
        <w:t xml:space="preserve">6.4. Предварительная оплата в размере 740000 рублей внесена 12.02.2026, что подтверждается платёжными документами; товар не передан: не поставлено 420 кв. м керамогранита из 1 200 кв. м, предусмотренных спецификацией № 3.</w:t>
      </w:r>
    </w:p>
    <w:p>
      <w:pPr>
        <w:ind w:firstLine="425"/>
      </w:pPr>
      <w:r>
        <w:t xml:space="preserve">6.5. Удерживаемая Ответчиком сумма является неосновательным обогащением и подлежит возврату вместе с процентами (ст. 1102 ГК).</w:t>
      </w:r>
    </w:p>
    <w:p>
      <w:pPr>
        <w:ind w:firstLine="425"/>
      </w:pPr>
      <w:r>
        <w:t xml:space="preserve">6.6. Проценты за пользование чужими денежными средствами по состоянию на 10.04.2026 составляют 84600 рублей (ст. 395 ГК).</w:t>
      </w:r>
    </w:p>
    <w:p>
      <w:pPr>
        <w:pStyle w:val="ClauseHeading"/>
      </w:pPr>
      <w:r>
        <w:rPr>
          <w:b/>
        </w:rPr>
        <w:t xml:space="preserve">7. Основание требования: убытки и разница в цене</w:t>
      </w:r>
    </w:p>
    <w:p>
      <w:pPr>
        <w:ind w:firstLine="425"/>
      </w:pPr>
      <w:r>
        <w:t xml:space="preserve">7.1. Лицо, право которого нарушено, вправе требовать полного возмещения причинённых ему убытков — реального ущерба и упущенной выгоды (ст. 15 ГК).</w:t>
      </w:r>
    </w:p>
    <w:p>
      <w:pPr>
        <w:ind w:firstLine="425"/>
      </w:pPr>
      <w:r>
        <w:t xml:space="preserve">7.2. Должник обязан возместить кредитору убытки, причинённые неисполнением или ненадлежащим исполнением обязательства; размер убытков определяется с разумной степенью достоверности (ст. 393 ГК).</w:t>
      </w:r>
    </w:p>
    <w:p>
      <w:pPr>
        <w:ind w:firstLine="425"/>
      </w:pPr>
      <w:r>
        <w:t xml:space="preserve">7.3. Если в разумный срок после расторжения договора покупатель купил у другого лица товар по более высокой, но разумной цене, он вправе предъявить продавцу требование о возмещении убытков в виде разницы между установленной в договоре ценой и ценой по совершённой взамен сделке (ст. 524 ГК).</w:t>
      </w:r>
    </w:p>
    <w:p>
      <w:pPr>
        <w:ind w:firstLine="425"/>
      </w:pPr>
      <w:r>
        <w:t xml:space="preserve">7.4. Если поставщик не поставил обусловленное количество товаров либо не выполнил требования об устранении недостатков или о доукомплектовании, покупатель вправе приобрести непоставленные товары у других лиц с отнесением на поставщика всех необходимых и разумных расходов (ст. 520 ГК).</w:t>
      </w:r>
    </w:p>
    <w:p>
      <w:pPr>
        <w:ind w:firstLine="425"/>
      </w:pPr>
      <w:r>
        <w:t xml:space="preserve">7.5. Замещающая сделка: договор поставки от 14.03.2026 № 27 с ООО «Гранит», цена выше на 215 000 рублей.</w:t>
      </w:r>
    </w:p>
    <w:p>
      <w:pPr>
        <w:ind w:firstLine="425"/>
      </w:pPr>
      <w:r>
        <w:t xml:space="preserve">7.6. Размер убытков составляет 215000 рублей и подтверждается договором с новым контрагентом, платёжными документами и расчётом разницы в цене.</w:t>
      </w:r>
    </w:p>
    <w:p>
      <w:pPr>
        <w:pStyle w:val="ClauseHeading"/>
      </w:pPr>
      <w:r>
        <w:rPr>
          <w:b/>
        </w:rPr>
        <w:t xml:space="preserve">8. Основание требования: расторжение договора поставки</w:t>
      </w:r>
    </w:p>
    <w:p>
      <w:pPr>
        <w:ind w:firstLine="425"/>
      </w:pPr>
      <w:r>
        <w:t xml:space="preserve">8.1. Изменение и расторжение договора по требованию одной из сторон возможны при существенном нарушении договора другой стороной — таком, которое влечёт для потерпевшей стороны ущерб, в значительной степени лишающий её того, на что она была вправе рассчитывать при заключении договора (ст. 450 ГК).</w:t>
      </w:r>
    </w:p>
    <w:p>
      <w:pPr>
        <w:ind w:firstLine="425"/>
      </w:pPr>
      <w:r>
        <w:t xml:space="preserve">8.2. Одностороннний отказ от исполнения договора поставки допускается в случае существенного нарушения договора одной из сторон: для поставщика это неоднократное нарушение сроков поставки или поставка товаров ненадлежащего качества с недостатками, которые не могут быть устранены в приемлемый для покупателя срок, для покупателя — неоднократное нарушение сроков оплаты или неоднократная невыборка товаров (ст. 523 ГК).</w:t>
      </w:r>
    </w:p>
    <w:p>
      <w:pPr>
        <w:ind w:firstLine="425"/>
      </w:pPr>
      <w:r>
        <w:t xml:space="preserve">8.3. Требование о расторжении может быть заявлено в суд только после получения отказа другой стороны на предложение расторгнуть договор либо неполучения ответа в срок, указанный в предложении, а при его отсутствии — в тридцатидневный срок (ст. 452 ГК).</w:t>
      </w:r>
    </w:p>
    <w:p>
      <w:pPr>
        <w:ind w:firstLine="425"/>
      </w:pPr>
      <w:r>
        <w:t xml:space="preserve">8.4. При расторжении договора обязательства сторон прекращаются, а сторона вправе требовать возврата исполненного, если другая сторона неосновательно обогатилась (ст. 453 ГК).</w:t>
      </w:r>
    </w:p>
    <w:p>
      <w:pPr>
        <w:ind w:firstLine="425"/>
      </w:pPr>
      <w:r>
        <w:t xml:space="preserve">8.5. Основания расторжения: Ответчик принял товар по УПД № 145 и № 151, но оплату в установленный договором срок не произвёл; на претензию не ответил.</w:t>
      </w:r>
    </w:p>
    <w:p>
      <w:pPr>
        <w:ind w:firstLine="425"/>
      </w:pPr>
      <w:r>
        <w:t xml:space="preserve">8.6. Предложение расторгнуть Договор направлено Ответчику 10.03.2026; результат — Претензия направлена, ответ не получен.</w:t>
      </w:r>
    </w:p>
    <w:p>
      <w:pPr>
        <w:ind w:firstLine="425"/>
      </w:pPr>
      <w:r>
        <w:t xml:space="preserve">8.7. Допущенное нарушение Истец считает существенным по обстоятельствам, изложенным выше.</w:t>
      </w:r>
    </w:p>
    <w:p>
      <w:pPr>
        <w:pStyle w:val="ClauseHeading"/>
      </w:pPr>
      <w:r>
        <w:rPr>
          <w:b/>
        </w:rPr>
        <w:t xml:space="preserve">9. Основание требования: понуждение поставить товар</w:t>
      </w:r>
    </w:p>
    <w:p>
      <w:pPr>
        <w:ind w:firstLine="425"/>
      </w:pPr>
      <w:r>
        <w:t xml:space="preserve">9.1. Уплата неустойки и возмещение убытков в случае ненадлежащего исполнения обязательства не освобождают должника от исполнения обязательства в натуре, если иное не предусмотрено законом или договором (ст. 396 ГК).</w:t>
      </w:r>
    </w:p>
    <w:p>
      <w:pPr>
        <w:ind w:firstLine="425"/>
      </w:pPr>
      <w:r>
        <w:t xml:space="preserve">9.2. При неисполнении обязательства передать индивидуально-определённую вещь кредитор вправе требовать отобрания этой вещи у должника и передачи её на предусмотренных обязательством условиях (ст. 398 ГК).</w:t>
      </w:r>
    </w:p>
    <w:p>
      <w:pPr>
        <w:ind w:firstLine="425"/>
      </w:pPr>
      <w:r>
        <w:t xml:space="preserve">9.3. Поставщик, допустивший недопоставку в отдельном периоде, обязан восполнить недопоставленное количество товаров в следующем периоде в пределах срока действия договора (ст. 511 ГК).</w:t>
      </w:r>
    </w:p>
    <w:p>
      <w:pPr>
        <w:ind w:firstLine="425"/>
      </w:pPr>
      <w:r>
        <w:t xml:space="preserve">9.4. Ассортимент товаров, недопоставка которых подлежит восполнению, определяется соглашением сторон, а при его отсутствии — ассортиментом периода, в котором допущена недопоставка (ст. 512 ГК).</w:t>
      </w:r>
    </w:p>
    <w:p>
      <w:pPr>
        <w:ind w:firstLine="425"/>
      </w:pPr>
      <w:r>
        <w:t xml:space="preserve">9.5. Не поставлено: не поставлено 420 кв. м керамогранита из 1 200 кв. м, предусмотренных спецификацией № 3; стоимость непоставленного товара — 740000 рублей; оплата за него внесена 12.02.2026 в сумме 740000 рублей.</w:t>
      </w:r>
    </w:p>
    <w:p>
      <w:pPr>
        <w:ind w:firstLine="425"/>
      </w:pPr>
      <w:r>
        <w:t xml:space="preserve">9.6. Истец просит установить срок для исполнения обязательства в натуре и предупредить Ответчика о последствиях его неисполнения.</w:t>
      </w:r>
    </w:p>
    <w:p>
      <w:pPr>
        <w:pStyle w:val="ClauseHeading"/>
      </w:pPr>
      <w:r>
        <w:rPr>
          <w:b/>
        </w:rPr>
        <w:t xml:space="preserve">10. Основание требования: качество и комплектность товара</w:t>
      </w:r>
    </w:p>
    <w:p>
      <w:pPr>
        <w:ind w:firstLine="425"/>
      </w:pPr>
      <w:r>
        <w:t xml:space="preserve">10.1. Продавец обязан передать покупателю товар, качество которого соответствует договору, а при отсутствии в договоре условий о качестве — товар, пригодный для целей, для которых товар такого рода обычно используется (ст. 469 ГК).</w:t>
      </w:r>
    </w:p>
    <w:p>
      <w:pPr>
        <w:ind w:firstLine="425"/>
      </w:pPr>
      <w:r>
        <w:t xml:space="preserve">10.2. Если недостатки товара не были оговорены продавцом, покупатель вправе по своему выбору потребовать соразмерного уменьшения покупной цены, безвозмездного устранения недостатков в разумный срок или возмещения своих расходов на их устранение.</w:t>
      </w:r>
    </w:p>
    <w:p>
      <w:pPr>
        <w:ind w:firstLine="425"/>
      </w:pPr>
      <w:r>
        <w:t xml:space="preserve">10.3. При существенном нарушении требований к качеству покупатель вправе отказаться от исполнения договора и потребовать возврата уплаченной суммы либо замены товара (ст. 475 ГК).</w:t>
      </w:r>
    </w:p>
    <w:p>
      <w:pPr>
        <w:ind w:firstLine="425"/>
      </w:pPr>
      <w:r>
        <w:t xml:space="preserve">10.4. Продавец отвечает за недостатки товара, если покупатель докажет, что они возникли до передачи товара покупателю или по причинам, возникшим до этого момента (ст. 476 ГК).</w:t>
      </w:r>
    </w:p>
    <w:p>
      <w:pPr>
        <w:ind w:firstLine="425"/>
      </w:pPr>
      <w:r>
        <w:t xml:space="preserve">10.5. При передаче некомплектного товара покупатель вправе потребовать соразмерного уменьшения цены или доукомплектования товара в разумный срок, а при невыполнении этого требования — замены некомплектного товара на комплектный либо отказа от договора с возвратом уплаченной суммы (ст. 480 ГК).</w:t>
      </w:r>
    </w:p>
    <w:p>
      <w:pPr>
        <w:ind w:firstLine="425"/>
      </w:pPr>
      <w:r>
        <w:t xml:space="preserve">10.6. Покупатель, которому поставлены товары ненадлежащего качества, вправе предъявить поставщику требования, предусмотренные правилами о качестве, за исключением случая незамедлительной замены товара поставщиком (ст. 518 ГК).</w:t>
      </w:r>
    </w:p>
    <w:p>
      <w:pPr>
        <w:ind w:firstLine="425"/>
      </w:pPr>
      <w:r>
        <w:t xml:space="preserve">10.7. Недостатки выявлены при приёмке и зафиксированы документом: акт приёмки товара по качеству от 21.02.2026, заключение эксперта № 44/26 от 05.03.2026.</w:t>
      </w:r>
    </w:p>
    <w:p>
      <w:pPr>
        <w:ind w:firstLine="425"/>
      </w:pPr>
      <w:r>
        <w:t xml:space="preserve">10.8. Их описание: в партии от 20.02.2026 выявлен бой и расслоение покрытия у 180 кв. м плитки, что зафиксировано актом приёмки по качеству от 21.02.2026.</w:t>
      </w:r>
    </w:p>
    <w:p>
      <w:pPr>
        <w:ind w:firstLine="425"/>
      </w:pPr>
      <w:r>
        <w:t xml:space="preserve">10.9. Истец требует соразмерного уменьшения цены на 162000 рублей либо замены товара надлежащего качества.</w:t>
      </w:r>
    </w:p>
    <w:p>
      <w:pPr>
        <w:ind w:firstLine="425"/>
      </w:pPr>
      <w:r>
        <w:t xml:space="preserve">10.10. О выявленных недостатках Ответчик извещён в разумный срок (ст. 513 ГК).</w:t>
      </w:r>
    </w:p>
    <w:p>
      <w:pPr>
        <w:pStyle w:val="ClauseHeading"/>
      </w:pPr>
      <w:r>
        <w:rPr>
          <w:b/>
        </w:rPr>
        <w:t xml:space="preserve">11. Основание требования: транспортные и иные расходы</w:t>
      </w:r>
    </w:p>
    <w:p>
      <w:pPr>
        <w:ind w:firstLine="425"/>
      </w:pPr>
      <w:r>
        <w:t xml:space="preserve">11.1. Доставка товаров осуществляется поставщиком путём отгрузки транспортом, предусмотренным договором, и на определённых в нём условиях; если вид транспорта и условия доставки не определены, право выбора принадлежит поставщику, если иное не вытекает из закона или существа обязательства (ст. 510 ГК).</w:t>
      </w:r>
    </w:p>
    <w:p>
      <w:pPr>
        <w:ind w:firstLine="425"/>
      </w:pPr>
      <w:r>
        <w:t xml:space="preserve">11.2. Когда покупатель отказывается от переданного товара по основаниям, предусмотренным законом или договором, он обязан обеспечить сохранность товара, приняв его на ответственное хранение, и незамедлительно уведомить поставщика; необходимые расходы, понесённые покупателем, подлежат возмещению поставщиком (ст. 514 ГК).</w:t>
      </w:r>
    </w:p>
    <w:p>
      <w:pPr>
        <w:ind w:firstLine="425"/>
      </w:pPr>
      <w:r>
        <w:t xml:space="preserve">11.3. В состав убытков входят расходы, которые лицо произвело или должно будет произвести для восстановления нарушенного права (ст. 15 ГК).</w:t>
      </w:r>
    </w:p>
    <w:p>
      <w:pPr>
        <w:ind w:firstLine="425"/>
      </w:pPr>
      <w:r>
        <w:t xml:space="preserve">11.4. Расходы Истца составили 48000 рублей и включают перевозку, хранение и погрузочно-разгрузочные работы.</w:t>
      </w:r>
    </w:p>
    <w:p>
      <w:pPr>
        <w:ind w:firstLine="425"/>
      </w:pPr>
      <w:r>
        <w:t xml:space="preserve">11.5. Расходы подтверждаются договорами с перевозчиком и хранителем, транспортными накладными и платёжными документами.</w:t>
      </w:r>
    </w:p>
    <w:p>
      <w:pPr>
        <w:ind w:firstLine="425"/>
      </w:pPr>
      <w:r>
        <w:t xml:space="preserve">11.6. Причинная связь между нарушением Ответчика и понесёнными расходами следует из обстоятельств, изложенных выше (ст. 393 ГК).</w:t>
      </w:r>
    </w:p>
    <w:p>
      <w:pPr>
        <w:pStyle w:val="ClauseHeading"/>
      </w:pPr>
      <w:r>
        <w:rPr>
          <w:b/>
        </w:rPr>
        <w:t xml:space="preserve">12. Основание требования: признание договора незаключённым</w:t>
      </w:r>
    </w:p>
    <w:p>
      <w:pPr>
        <w:ind w:firstLine="425"/>
      </w:pPr>
      <w:r>
        <w:t xml:space="preserve">12.1. Договор считается заключённым, если между сторонами достигнуто соглашение по всем существенным условиям — о предмете, условиях, названных в законе существенными, и условиях, относительно которых по заявлению одной из сторон должно быть достигнуто соглашение (ст. 432 ГК).</w:t>
      </w:r>
    </w:p>
    <w:p>
      <w:pPr>
        <w:ind w:firstLine="425"/>
      </w:pPr>
      <w:r>
        <w:t xml:space="preserve">12.2. Условие договора купли-продажи о товаре считается согласованным, если договор позволяет определить наименование и количество товара (ст. 455 ГК).</w:t>
      </w:r>
    </w:p>
    <w:p>
      <w:pPr>
        <w:ind w:firstLine="425"/>
      </w:pPr>
      <w:r>
        <w:t xml:space="preserve">12.3. Если договор не позволяет определить количество подлежащего передаче товара, договор не считается заключённым (ст. 465 ГК).</w:t>
      </w:r>
    </w:p>
    <w:p>
      <w:pPr>
        <w:ind w:firstLine="425"/>
      </w:pPr>
      <w:r>
        <w:t xml:space="preserve">12.4. При возникновении разногласий по отдельным условиям договора сторона, предложившая заключить договор, обязана в тридцатидневный срок принять меры по согласованию условий либо уведомить контрагента об отказе от заключения (ст. 507 ГК).</w:t>
      </w:r>
    </w:p>
    <w:p>
      <w:pPr>
        <w:ind w:firstLine="425"/>
      </w:pPr>
      <w:r>
        <w:t xml:space="preserve">12.5. Обстоятельства, свидетельствующие о несогласованности условий: договор подписан лицом, полномочия которого прекращены, наименование и количество товара сторонами не согласованы, спецификация не подписана.</w:t>
      </w:r>
    </w:p>
    <w:p>
      <w:pPr>
        <w:ind w:firstLine="425"/>
      </w:pPr>
      <w:r>
        <w:t xml:space="preserve">12.6. Сторона, получившая исполнение по незаключённому договору, обязана возвратить полученное как неосновательное обогащение (ст. 1102 ГК).</w:t>
      </w:r>
    </w:p>
    <w:p>
      <w:pPr>
        <w:ind w:firstLine="425"/>
      </w:pPr>
      <w:r>
        <w:t xml:space="preserve">12.7. Истец не подтверждает своими действиями действительность договорной связи и на исполнение по спорному документу не ссылается.</w:t>
      </w:r>
    </w:p>
    <w:p>
      <w:pPr>
        <w:pStyle w:val="ClauseHeading"/>
      </w:pPr>
      <w:r>
        <w:rPr>
          <w:b/>
        </w:rPr>
        <w:t xml:space="preserve">13. Основание требования: недействительность договора и последствия</w:t>
      </w:r>
    </w:p>
    <w:p>
      <w:pPr>
        <w:ind w:firstLine="425"/>
      </w:pPr>
      <w:r>
        <w:t xml:space="preserve">13.1. Сделка недействительна по основаниям, установленным законом, в силу признания её таковой судом или независимо от такого признания; требование о признании оспоримой сделки недействительной может быть предъявлено стороной сделки или иным указанным в законе лицом (ст. 166 ГК).</w:t>
      </w:r>
    </w:p>
    <w:p>
      <w:pPr>
        <w:ind w:firstLine="425"/>
      </w:pPr>
      <w:r>
        <w:t xml:space="preserve">13.2. Недействительная сделка не влечёт юридических последствий, за исключением тех, которые связаны с её недействительностью, и недействительна с момента её совершения; при недействительности каждая из сторон обязана возвратить другой всё полученное по сделке (ст. 167 ГК).</w:t>
      </w:r>
    </w:p>
    <w:p>
      <w:pPr>
        <w:ind w:firstLine="425"/>
      </w:pPr>
      <w:r>
        <w:t xml:space="preserve">13.3. Сделка, нарушающая требования закона или иного правового акта, по общему правилу оспорима, а если она посягает на публичные интересы либо права и охраняемые законом интересы третьих лиц — ничтожна (ст. 168 ГК).</w:t>
      </w:r>
    </w:p>
    <w:p>
      <w:pPr>
        <w:ind w:firstLine="425"/>
      </w:pPr>
      <w:r>
        <w:t xml:space="preserve">13.4. Сделка, совершённая представителем или органом юридического лица с превышением полномочий, ограниченных договором или учредительными документами, может быть признана судом недействительной по иску лица, в интересах которого установлены ограничения (ст. 174 ГК).</w:t>
      </w:r>
    </w:p>
    <w:p>
      <w:pPr>
        <w:ind w:firstLine="425"/>
      </w:pPr>
      <w:r>
        <w:t xml:space="preserve">13.5. При отсутствии полномочий действовать от имени другого лица сделка считается заключённой от имени и в интересах совершившего её лица, если представляемый впоследствии её не одобрил (ст. 183 ГК).</w:t>
      </w:r>
    </w:p>
    <w:p>
      <w:pPr>
        <w:ind w:firstLine="425"/>
      </w:pPr>
      <w:r>
        <w:t xml:space="preserve">13.6. Основания недействительности: договор подписан лицом, полномочия которого прекращены, наименование и количество товара сторонами не согласованы, спецификация не подписана.</w:t>
      </w:r>
    </w:p>
    <w:p>
      <w:pPr>
        <w:ind w:firstLine="425"/>
      </w:pPr>
      <w:r>
        <w:t xml:space="preserve">13.7. Истец просит применить последствия недействительности и обязать Ответчика возвратить полученное по сделке в размере 940000 рублей.</w:t>
      </w:r>
    </w:p>
    <w:p>
      <w:pPr>
        <w:pStyle w:val="ClauseHeading"/>
      </w:pPr>
      <w:r>
        <w:rPr>
          <w:b/>
        </w:rPr>
        <w:t xml:space="preserve">14. Досудебный порядок урегулирования спора</w:t>
      </w:r>
    </w:p>
    <w:p>
      <w:pPr>
        <w:ind w:firstLine="425"/>
      </w:pPr>
      <w:r>
        <w:t xml:space="preserve">14.1. Результат досудебного обращения: Претензия направлена, ответ не получен.</w:t>
      </w:r>
    </w:p>
    <w:p>
      <w:pPr>
        <w:ind w:firstLine="425"/>
      </w:pPr>
      <w:r>
        <w:t xml:space="preserve">14.2. 10.03.2026 Истец направил Ответчику претензию исх. № 41 от 10.03.2026; способ направления — заказным письмом с описью вложения, отчёт об отслеживании 12345678901234.</w:t>
      </w:r>
    </w:p>
    <w:p>
      <w:pPr>
        <w:ind w:firstLine="425"/>
      </w:pPr>
      <w:r>
        <w:t xml:space="preserve">14.3. Спор о взыскании денежных средств по требованиям, возникшим из договоров и иных сделок, передаётся на разрешение арбитражного суда по истечении тридцати календарных дней со дня направления претензии, если иные срок и порядок не установлены законом или договором (ст. 4 АПК).</w:t>
      </w:r>
    </w:p>
    <w:p>
      <w:pPr>
        <w:ind w:firstLine="425"/>
      </w:pPr>
      <w:r>
        <w:t xml:space="preserve">14.4. Требование об изменении или расторжении договора может быть заявлено в суд только после получения отказа другой стороны либо неполучения ответа в срок, указанный в предложении, а при его отсутствии — в тридцатидневный срок (ст. 452 ГК).</w:t>
      </w:r>
    </w:p>
    <w:p>
      <w:pPr>
        <w:ind w:firstLine="425"/>
      </w:pPr>
      <w:r>
        <w:t xml:space="preserve">14.5. Покупатель обязан известить продавца о нарушении условий договора о количестве, ассортименте, качестве и комплектности товара в срок, предусмотренный законом или договором, а при его отсутствии — в разумный срок после того, как нарушение должно было быть обнаружено (ст. 483 ГК).</w:t>
      </w:r>
    </w:p>
    <w:p>
      <w:pPr>
        <w:ind w:firstLine="425"/>
      </w:pPr>
      <w:r>
        <w:t xml:space="preserve">14.6. Требования Истца добровольно не удовлетворены, спор в досудебном порядке не урегулирован.</w:t>
      </w:r>
    </w:p>
    <w:p>
      <w:pPr>
        <w:pStyle w:val="ClauseHeading"/>
      </w:pPr>
      <w:r>
        <w:rPr>
          <w:b/>
        </w:rPr>
        <w:t xml:space="preserve">15. Подсудность и подведомственность</w:t>
      </w:r>
    </w:p>
    <w:p>
      <w:pPr>
        <w:ind w:firstLine="425"/>
      </w:pPr>
      <w:r>
        <w:t xml:space="preserve">15.1. Заявление подаётся в Арбитражный суд города Москвы; выбранный суд — Арбитражный суд.</w:t>
      </w:r>
    </w:p>
    <w:p>
      <w:pPr>
        <w:ind w:firstLine="425"/>
      </w:pPr>
      <w:r>
        <w:t xml:space="preserve">15.2. Арбитражному суду подведомственны экономические споры и другие дела, связанные с осуществлением предпринимательской и иной экономической деятельности, с участием организаций и индивидуальных предпринимателей (ст. 27 АПК).</w:t>
      </w:r>
    </w:p>
    <w:p>
      <w:pPr>
        <w:ind w:firstLine="425"/>
      </w:pPr>
      <w:r>
        <w:t xml:space="preserve">15.3. Иск предъявляется в арбитражный суд субъекта Российской Федерации по адресу или месту жительства ответчика (ст. 35 АПК).</w:t>
      </w:r>
    </w:p>
    <w:p>
      <w:pPr>
        <w:ind w:firstLine="425"/>
      </w:pPr>
      <w:r>
        <w:t xml:space="preserve">15.4. Иск к ответчику, место нахождения которого неизвестно, может быть предъявлен по месту нахождения его имущества или по последнему известному месту нахождения, а иск, вытекающий из договора с указанным местом исполнения, — по месту исполнения договора (ст. 36 АПК).</w:t>
      </w:r>
    </w:p>
    <w:p>
      <w:pPr>
        <w:ind w:firstLine="425"/>
      </w:pPr>
      <w:r>
        <w:t xml:space="preserve">15.5. Подсудность, установленная общими правилами, может быть изменена соглашением сторон до принятия арбитражным судом заявления к своему производству; условие о договорной подсудности в Договоре применяется, если оно прямо согласовано (ст. 37 АПК).</w:t>
      </w:r>
    </w:p>
    <w:p>
      <w:pPr>
        <w:ind w:firstLine="425"/>
      </w:pPr>
      <w:r>
        <w:t xml:space="preserve">15.6. Если одной из сторон спора выступает гражданин без статуса предпринимателя, дело рассматривает суд общей юрисдикции: при цене иска до пятидесяти тысяч рублей — мировой судья, свыше — районный суд (ст. 23 ГПК).</w:t>
      </w:r>
    </w:p>
    <w:p>
      <w:pPr>
        <w:pStyle w:val="ClauseHeading"/>
      </w:pPr>
      <w:r>
        <w:rPr>
          <w:b/>
        </w:rPr>
        <w:t xml:space="preserve">16. Государственная пошлина</w:t>
      </w:r>
    </w:p>
    <w:p>
      <w:pPr>
        <w:ind w:firstLine="425"/>
      </w:pPr>
      <w:r>
        <w:t xml:space="preserve">16.1. По имущественным требованиям, подлежащим оценке, государственная пошлина исчисляется от цены иска по прогрессивной шкале, установленной статьёй 333.21 Налогового кодекса Российской Федерации для дел, рассматриваемых арбитражными судами.</w:t>
      </w:r>
    </w:p>
    <w:p>
      <w:pPr>
        <w:ind w:firstLine="425"/>
      </w:pPr>
      <w:r>
        <w:t xml:space="preserve">16.2. По требованиям о расторжении договора, о признании его незаключённым или недействительным пошлина уплачивается в твёрдом размере как по требованию неимущественного характера.</w:t>
      </w:r>
    </w:p>
    <w:p>
      <w:pPr>
        <w:ind w:firstLine="425"/>
      </w:pPr>
      <w:r>
        <w:t xml:space="preserve">16.3. Если требований несколько и они разнородны, пошлина уплачивается отдельно по каждому из них; при увеличении размера требований недостающая сумма доплачивается до рассмотрения дела по существу.</w:t>
      </w:r>
    </w:p>
    <w:p>
      <w:pPr>
        <w:ind w:firstLine="425"/>
      </w:pPr>
      <w:r>
        <w:t xml:space="preserve">16.4. При обращении в суд общей юрисдикции ставки определяются статьёй 333.19 Налогового кодекса Российской Федерации.</w:t>
      </w:r>
    </w:p>
    <w:p>
      <w:pPr>
        <w:ind w:firstLine="425"/>
      </w:pPr>
      <w:r>
        <w:t xml:space="preserve">16.5. Состояние уплаты по настоящему заявлению: Уплачена, платёжное поручение прилагается; сумма — 42000 рублей.</w:t>
      </w:r>
    </w:p>
    <w:p>
      <w:pPr>
        <w:ind w:firstLine="425"/>
      </w:pPr>
      <w:r>
        <w:t xml:space="preserve">16.6. Судебные расходы, включая пошлину, относятся на сторону, против которой принят судебный акт (ст. 110 АПК).</w:t>
      </w:r>
    </w:p>
    <w:p>
      <w:pPr>
        <w:ind w:firstLine="425"/>
      </w:pPr>
      <w:r>
        <w:t xml:space="preserve">17.1. На основании изложенного, руководствуясь статьями 15, 309, 310, 330, 393, 395, 450, 452, 456, 469, 475, 486, 487, 506, 511, 516, 521, 523, 524 Гражданского кодекса Российской Федерации, статьями 125 и 126 Арбитражного процессуального кодекса Российской Федерации, прошу:</w:t>
      </w:r>
    </w:p>
    <w:p>
      <w:pPr>
        <w:ind w:firstLine="425"/>
      </w:pPr>
      <w:r>
        <w:t xml:space="preserve">17.2. рассмотреть заявленное требование — Взыскание задолженности за поставленный товар — по договору поставки от 15.01.2025 № П-114/2025;</w:t>
      </w:r>
    </w:p>
    <w:p>
      <w:pPr>
        <w:ind w:firstLine="425"/>
      </w:pPr>
      <w:r>
        <w:t xml:space="preserve">17.3. взыскать с Ответчика в пользу Истца основной долг в размере 940000 рублей по поставкам от 20.02.2026 и 27.02.2026;</w:t>
      </w:r>
    </w:p>
    <w:p>
      <w:pPr>
        <w:ind w:firstLine="425"/>
      </w:pPr>
      <w:r>
        <w:t xml:space="preserve">17.4. взыскать с Ответчика неустойку (проценты) в размере 84600 рублей по состоянию на 10.04.2026 и далее по день фактического исполнения обязательства;</w:t>
      </w:r>
    </w:p>
    <w:p>
      <w:pPr>
        <w:ind w:firstLine="425"/>
      </w:pPr>
      <w:r>
        <w:t xml:space="preserve">17.5. взыскать с Ответчика сумму предварительной оплаты за непоставленный товар в размере 740000 рублей;</w:t>
      </w:r>
    </w:p>
    <w:p>
      <w:pPr>
        <w:ind w:firstLine="425"/>
      </w:pPr>
      <w:r>
        <w:t xml:space="preserve">17.6. взыскать с Ответчика убытки в размере 215000 рублей, включая разницу в цене по замещающей сделке;</w:t>
      </w:r>
    </w:p>
    <w:p>
      <w:pPr>
        <w:ind w:firstLine="425"/>
      </w:pPr>
      <w:r>
        <w:t xml:space="preserve">17.7. взыскать с Ответчика транспортные и иные необходимые расходы в размере 48000 рублей;</w:t>
      </w:r>
    </w:p>
    <w:p>
      <w:pPr>
        <w:ind w:firstLine="425"/>
      </w:pPr>
      <w:r>
        <w:t xml:space="preserve">17.8. уменьшить цену поставленного товара на 162000 рублей и взыскать указанную сумму с Ответчика;</w:t>
      </w:r>
    </w:p>
    <w:p>
      <w:pPr>
        <w:ind w:firstLine="425"/>
      </w:pPr>
      <w:r>
        <w:t xml:space="preserve">17.9. обязать Ответчика передать Истцу недопоставленный товар: не поставлено 420 кв. м керамогранита из 1 200 кв. м, предусмотренных спецификацией № 3;</w:t>
      </w:r>
    </w:p>
    <w:p>
      <w:pPr>
        <w:ind w:firstLine="425"/>
      </w:pPr>
      <w:r>
        <w:t xml:space="preserve">17.10. признать договор поставки от 15.01.2025 № П-114/2025 незаключённым (недействительным) и применить последствия;</w:t>
      </w:r>
    </w:p>
    <w:p>
      <w:pPr>
        <w:ind w:firstLine="425"/>
      </w:pPr>
      <w:r>
        <w:t xml:space="preserve">17.11. взыскать с Ответчика расходы на оплату услуг представителя в размере 70000 рублей;</w:t>
      </w:r>
    </w:p>
    <w:p>
      <w:pPr>
        <w:ind w:firstLine="425"/>
      </w:pPr>
      <w:r>
        <w:t xml:space="preserve">17.12. взыскать с Ответчика расходы по уплате государственной пошлины в размере 42000 рублей;</w:t>
      </w:r>
    </w:p>
    <w:p>
      <w:pPr>
        <w:ind w:firstLine="425"/>
      </w:pPr>
      <w:r>
        <w:t xml:space="preserve">17.13. обязать ответчика вывезти забракованный товар со склада истца за свой счёт</w:t>
      </w:r>
    </w:p>
    <w:p>
      <w:pPr>
        <w:ind w:firstLine="425"/>
      </w:pPr>
      <w:r>
        <w:t xml:space="preserve">18.1. Прилагаемые документы:</w:t>
      </w:r>
    </w:p>
    <w:p>
      <w:pPr>
        <w:ind w:firstLine="425"/>
      </w:pPr>
      <w:r>
        <w:t xml:space="preserve">18.2. уведомление о вручении или иные документы, подтверждающие направление Ответчику и третьим лицам копий искового заявления и приложенных к нему документов, которые у них отсутствуют;</w:t>
      </w:r>
    </w:p>
    <w:p>
      <w:pPr>
        <w:ind w:firstLine="425"/>
      </w:pPr>
      <w:r>
        <w:t xml:space="preserve">18.3. документ, подтверждающий уплату государственной пошлины, либо ходатайство об отсрочке её уплаты;</w:t>
      </w:r>
    </w:p>
    <w:p>
      <w:pPr>
        <w:ind w:firstLine="425"/>
      </w:pPr>
      <w:r>
        <w:t xml:space="preserve">18.4. копия договора поставки от 15.01.2025 № П-114/2025 со спецификациями и дополнительными соглашениями;</w:t>
      </w:r>
    </w:p>
    <w:p>
      <w:pPr>
        <w:ind w:firstLine="425"/>
      </w:pPr>
      <w:r>
        <w:t xml:space="preserve">18.5. копия документа, которым согласованы наименование и количество товара, — спецификация № 3 от 12.02.2026 на сумму 1 480 000 рублей;</w:t>
      </w:r>
    </w:p>
    <w:p>
      <w:pPr>
        <w:ind w:firstLine="425"/>
      </w:pPr>
      <w:r>
        <w:t xml:space="preserve">18.6. копии отгрузочных документов: универсальные передаточные документы № 145 от 20.02.2026, № 151 от 27.02.2026, транспортная накладная № 88;</w:t>
      </w:r>
    </w:p>
    <w:p>
      <w:pPr>
        <w:ind w:firstLine="425"/>
      </w:pPr>
      <w:r>
        <w:t xml:space="preserve">18.7. платёжные поручения и выписка по расчётному счёту, подтверждающие расчёты сторон;</w:t>
      </w:r>
    </w:p>
    <w:p>
      <w:pPr>
        <w:ind w:firstLine="425"/>
      </w:pPr>
      <w:r>
        <w:t xml:space="preserve">18.8. копия акта сверки взаимных расчётов — акт сверки взаимных расчётов по состоянию на 28.02.2026, подписанный обеими сторонами;</w:t>
      </w:r>
    </w:p>
    <w:p>
      <w:pPr>
        <w:ind w:firstLine="425"/>
      </w:pPr>
      <w:r>
        <w:t xml:space="preserve">18.9. копия акта о недостатках товара и экспертного заключения — акт приёмки товара по качеству от 21.02.2026, заключение эксперта № 44/26 от 05.03.2026;</w:t>
      </w:r>
    </w:p>
    <w:p>
      <w:pPr>
        <w:ind w:firstLine="425"/>
      </w:pPr>
      <w:r>
        <w:t xml:space="preserve">18.10. копия претензии исх. № 41 от 10.03.2026 от 10.03.2026 с доказательствами направления Ответчику;</w:t>
      </w:r>
    </w:p>
    <w:p>
      <w:pPr>
        <w:ind w:firstLine="425"/>
      </w:pPr>
      <w:r>
        <w:t xml:space="preserve">18.11. документы, подтверждающие обстоятельства дела: договор со спецификацией, УПД с отметками о приёмке, акт сверки, платёжные поручения, переписка сторон по электронной почте;</w:t>
      </w:r>
    </w:p>
    <w:p>
      <w:pPr>
        <w:ind w:firstLine="425"/>
      </w:pPr>
      <w:r>
        <w:t xml:space="preserve">18.12. выписка из Единого государственного реестра юридических лиц (предпринимателей) в отношении Истца и Ответчика;</w:t>
      </w:r>
    </w:p>
    <w:p>
      <w:pPr>
        <w:ind w:firstLine="425"/>
      </w:pPr>
      <w:r>
        <w:t xml:space="preserve">18.13. расчёт цены иска, подписанный Истцом, — Приложение № 1;</w:t>
      </w:r>
    </w:p>
    <w:p>
      <w:pPr>
        <w:ind w:firstLine="425"/>
      </w:pPr>
      <w:r>
        <w:t xml:space="preserve">18.14. расчёт задолженности по поставкам — Приложение № 2;</w:t>
      </w:r>
    </w:p>
    <w:p>
      <w:pPr>
        <w:ind w:firstLine="425"/>
      </w:pPr>
      <w:r>
        <w:t xml:space="preserve">18.15. расчёт неустойки (процентов) — Приложение № 3;</w:t>
      </w:r>
    </w:p>
    <w:p>
      <w:pPr>
        <w:ind w:firstLine="425"/>
      </w:pPr>
      <w:r>
        <w:t xml:space="preserve">18.16. доверенность представителя и документы о полномочиях лица, подписавшего заявление;</w:t>
      </w:r>
    </w:p>
    <w:p>
      <w:pPr>
        <w:ind w:firstLine="425"/>
      </w:pPr>
      <w:r>
        <w:t xml:space="preserve">18.17. выписка из ЕГРЮЛ в отношении ответчика от 05.04.2026</w:t>
      </w:r>
    </w:p>
    <w:p>
      <w:pPr>
        <w:pageBreakBefore/>
      </w:pPr>
    </w:p>
    <w:p>
      <w:pPr>
        <w:jc w:val="right"/>
      </w:pPr>
      <w:r>
        <w:rPr>
          <w:b/>
        </w:rPr>
        <w:t xml:space="preserve">Приложение № 1 к документу</w:t>
      </w:r>
    </w:p>
    <w:p>
      <w:pPr>
        <w:pStyle w:val="DocTitle"/>
      </w:pPr>
      <w:r>
        <w:t xml:space="preserve">Расчёт цены иска</w:t>
      </w:r>
    </w:p>
    <w:p>
      <w:pPr>
        <w:ind w:firstLine="425"/>
      </w:pPr>
      <w:r>
        <w:t xml:space="preserve">Расчёт составлен по состоянию на 10.04.2026 по договору поставки от 15.01.2025 № П-114/2025.</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1033"/>
        <w:gridCol w:w="3442"/>
        <w:gridCol w:w="3098"/>
        <w:gridCol w:w="2066"/>
      </w:tblGrid>
      <w:tr>
        <w:tc>
          <w:tcPr>
            <w:tcW w:w="536" w:type="pct"/>
            <w:vAlign w:val="center"/>
          </w:tcPr>
          <w:p>
            <w:pPr>
              <w:jc w:val="center"/>
              <w:ind w:firstLine="0"/>
            </w:pPr>
            <w:r>
              <w:rPr>
                <w:b/>
              </w:rPr>
              <w:t xml:space="preserve">№</w:t>
            </w:r>
          </w:p>
        </w:tc>
        <w:tc>
          <w:tcPr>
            <w:tcW w:w="1786" w:type="pct"/>
            <w:vAlign w:val="center"/>
          </w:tcPr>
          <w:p>
            <w:pPr>
              <w:jc w:val="center"/>
              <w:ind w:firstLine="0"/>
            </w:pPr>
            <w:r>
              <w:rPr>
                <w:b/>
              </w:rPr>
              <w:t xml:space="preserve">Требование</w:t>
            </w:r>
          </w:p>
        </w:tc>
        <w:tc>
          <w:tcPr>
            <w:tcW w:w="1607" w:type="pct"/>
            <w:vAlign w:val="center"/>
          </w:tcPr>
          <w:p>
            <w:pPr>
              <w:jc w:val="center"/>
              <w:ind w:firstLine="0"/>
            </w:pPr>
            <w:r>
              <w:rPr>
                <w:b/>
              </w:rPr>
              <w:t xml:space="preserve">Основание и период</w:t>
            </w:r>
          </w:p>
        </w:tc>
        <w:tc>
          <w:tcPr>
            <w:tcW w:w="1071" w:type="pct"/>
            <w:vAlign w:val="center"/>
          </w:tcPr>
          <w:p>
            <w:pPr>
              <w:jc w:val="center"/>
              <w:ind w:firstLine="0"/>
            </w:pPr>
            <w:r>
              <w:rPr>
                <w:b/>
              </w:rPr>
              <w:t xml:space="preserve">Сумма, руб.</w:t>
            </w: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bl>
    <w:p/>
    <w:p>
      <w:pPr>
        <w:ind w:firstLine="425"/>
      </w:pPr>
      <w:r>
        <w:t xml:space="preserve">Итого цена иска: 1240000 рублей.</w:t>
      </w:r>
    </w:p>
    <w:p>
      <w:pPr>
        <w:ind w:firstLine="425"/>
      </w:pPr>
      <w:r>
        <w:t xml:space="preserve">Государственная пошлина: 42000 рублей.</w:t>
      </w:r>
    </w:p>
    <w:p>
      <w:pPr>
        <w:ind w:firstLine="425"/>
      </w:pPr>
      <w:r>
        <w:t xml:space="preserve">Расчёт составил и подписал Истец — Иванов Иван Иванович.</w:t>
      </w:r>
    </w:p>
    <w:p>
      <w:pPr>
        <w:pageBreakBefore/>
      </w:pPr>
    </w:p>
    <w:p>
      <w:pPr>
        <w:jc w:val="right"/>
      </w:pPr>
      <w:r>
        <w:rPr>
          <w:b/>
        </w:rPr>
        <w:t xml:space="preserve">Приложение № 2 к документу</w:t>
      </w:r>
    </w:p>
    <w:p>
      <w:pPr>
        <w:pStyle w:val="DocTitle"/>
      </w:pPr>
      <w:r>
        <w:t xml:space="preserve">Расчёт задолженности по поставкам</w:t>
      </w:r>
    </w:p>
    <w:p>
      <w:pPr>
        <w:ind w:firstLine="425"/>
      </w:pPr>
      <w:r>
        <w:t xml:space="preserve">Расчёт по договору поставки от 15.01.2025 № П-114/2025; поставлено на 1240000 рублей, оплачено 300000 рублей.</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536"/>
        <w:gridCol w:w="1607"/>
        <w:gridCol w:w="1607"/>
        <w:gridCol w:w="1785"/>
        <w:gridCol w:w="1607"/>
        <w:gridCol w:w="1607"/>
        <w:gridCol w:w="892"/>
      </w:tblGrid>
      <w:tr>
        <w:tc>
          <w:tcPr>
            <w:tcW w:w="278" w:type="pct"/>
            <w:vAlign w:val="center"/>
          </w:tcPr>
          <w:p>
            <w:pPr>
              <w:jc w:val="center"/>
              <w:ind w:firstLine="0"/>
            </w:pPr>
            <w:r>
              <w:rPr>
                <w:b/>
              </w:rPr>
              <w:t xml:space="preserve">№</w:t>
            </w:r>
          </w:p>
        </w:tc>
        <w:tc>
          <w:tcPr>
            <w:tcW w:w="833" w:type="pct"/>
            <w:vAlign w:val="center"/>
          </w:tcPr>
          <w:p>
            <w:pPr>
              <w:jc w:val="center"/>
              <w:ind w:firstLine="0"/>
            </w:pPr>
            <w:r>
              <w:rPr>
                <w:b/>
              </w:rPr>
              <w:t xml:space="preserve">Документ отгрузки</w:t>
            </w:r>
          </w:p>
        </w:tc>
        <w:tc>
          <w:tcPr>
            <w:tcW w:w="833" w:type="pct"/>
            <w:vAlign w:val="center"/>
          </w:tcPr>
          <w:p>
            <w:pPr>
              <w:jc w:val="center"/>
              <w:ind w:firstLine="0"/>
            </w:pPr>
            <w:r>
              <w:rPr>
                <w:b/>
              </w:rPr>
              <w:t xml:space="preserve">Дата</w:t>
            </w:r>
          </w:p>
        </w:tc>
        <w:tc>
          <w:tcPr>
            <w:tcW w:w="926" w:type="pct"/>
            <w:vAlign w:val="center"/>
          </w:tcPr>
          <w:p>
            <w:pPr>
              <w:jc w:val="center"/>
              <w:ind w:firstLine="0"/>
            </w:pPr>
            <w:r>
              <w:rPr>
                <w:b/>
              </w:rPr>
              <w:t xml:space="preserve">Сумма поставки, руб.</w:t>
            </w:r>
          </w:p>
        </w:tc>
        <w:tc>
          <w:tcPr>
            <w:tcW w:w="833" w:type="pct"/>
            <w:vAlign w:val="center"/>
          </w:tcPr>
          <w:p>
            <w:pPr>
              <w:jc w:val="center"/>
              <w:ind w:firstLine="0"/>
            </w:pPr>
            <w:r>
              <w:rPr>
                <w:b/>
              </w:rPr>
              <w:t xml:space="preserve">Срок оплаты</w:t>
            </w:r>
          </w:p>
        </w:tc>
        <w:tc>
          <w:tcPr>
            <w:tcW w:w="833" w:type="pct"/>
            <w:vAlign w:val="center"/>
          </w:tcPr>
          <w:p>
            <w:pPr>
              <w:jc w:val="center"/>
              <w:ind w:firstLine="0"/>
            </w:pPr>
            <w:r>
              <w:rPr>
                <w:b/>
              </w:rPr>
              <w:t xml:space="preserve">Оплачено, руб.</w:t>
            </w:r>
          </w:p>
        </w:tc>
        <w:tc>
          <w:tcPr>
            <w:tcW w:w="463" w:type="pct"/>
            <w:vAlign w:val="center"/>
          </w:tcPr>
          <w:p>
            <w:pPr>
              <w:jc w:val="center"/>
              <w:ind w:firstLine="0"/>
            </w:pPr>
            <w:r>
              <w:rPr>
                <w:b/>
              </w:rPr>
              <w:t xml:space="preserve">Долг, руб.</w:t>
            </w:r>
          </w:p>
        </w:tc>
      </w:tr>
      <w:tr>
        <w:trPr>
          <w:trHeight w:val="397" w:hRule="atLeast"/>
        </w:trPr>
        <w:tc>
          <w:tcPr>
            <w:tcW w:w="278" w:type="pct"/>
            <w:vAlign w:val="center"/>
          </w:tcPr>
          <w:p>
            <w:pPr>
              <w:jc w:val="center"/>
              <w:ind w:firstLine="0"/>
            </w:pPr>
          </w:p>
        </w:tc>
        <w:tc>
          <w:tcPr>
            <w:tcW w:w="833" w:type="pct"/>
            <w:vAlign w:val="center"/>
          </w:tcPr>
          <w:p>
            <w:pPr>
              <w:jc w:val="left"/>
              <w:ind w:firstLine="0"/>
            </w:pPr>
          </w:p>
        </w:tc>
        <w:tc>
          <w:tcPr>
            <w:tcW w:w="833" w:type="pct"/>
            <w:vAlign w:val="center"/>
          </w:tcPr>
          <w:p>
            <w:pPr>
              <w:jc w:val="left"/>
              <w:ind w:firstLine="0"/>
            </w:pPr>
          </w:p>
        </w:tc>
        <w:tc>
          <w:tcPr>
            <w:tcW w:w="926" w:type="pct"/>
            <w:vAlign w:val="center"/>
          </w:tcPr>
          <w:p>
            <w:pPr>
              <w:jc w:val="left"/>
              <w:ind w:firstLine="0"/>
            </w:pPr>
          </w:p>
        </w:tc>
        <w:tc>
          <w:tcPr>
            <w:tcW w:w="833" w:type="pct"/>
            <w:vAlign w:val="center"/>
          </w:tcPr>
          <w:p>
            <w:pPr>
              <w:jc w:val="left"/>
              <w:ind w:firstLine="0"/>
            </w:pPr>
          </w:p>
        </w:tc>
        <w:tc>
          <w:tcPr>
            <w:tcW w:w="833" w:type="pct"/>
            <w:vAlign w:val="center"/>
          </w:tcPr>
          <w:p>
            <w:pPr>
              <w:jc w:val="left"/>
              <w:ind w:firstLine="0"/>
            </w:pPr>
          </w:p>
        </w:tc>
        <w:tc>
          <w:tcPr>
            <w:tcW w:w="463" w:type="pct"/>
            <w:vAlign w:val="center"/>
          </w:tcPr>
          <w:p>
            <w:pPr>
              <w:jc w:val="left"/>
              <w:ind w:firstLine="0"/>
            </w:pPr>
          </w:p>
        </w:tc>
      </w:tr>
      <w:tr>
        <w:trPr>
          <w:trHeight w:val="397" w:hRule="atLeast"/>
        </w:trPr>
        <w:tc>
          <w:tcPr>
            <w:tcW w:w="278" w:type="pct"/>
            <w:vAlign w:val="center"/>
          </w:tcPr>
          <w:p>
            <w:pPr>
              <w:jc w:val="center"/>
              <w:ind w:firstLine="0"/>
            </w:pPr>
          </w:p>
        </w:tc>
        <w:tc>
          <w:tcPr>
            <w:tcW w:w="833" w:type="pct"/>
            <w:vAlign w:val="center"/>
          </w:tcPr>
          <w:p>
            <w:pPr>
              <w:jc w:val="left"/>
              <w:ind w:firstLine="0"/>
            </w:pPr>
          </w:p>
        </w:tc>
        <w:tc>
          <w:tcPr>
            <w:tcW w:w="833" w:type="pct"/>
            <w:vAlign w:val="center"/>
          </w:tcPr>
          <w:p>
            <w:pPr>
              <w:jc w:val="left"/>
              <w:ind w:firstLine="0"/>
            </w:pPr>
          </w:p>
        </w:tc>
        <w:tc>
          <w:tcPr>
            <w:tcW w:w="926" w:type="pct"/>
            <w:vAlign w:val="center"/>
          </w:tcPr>
          <w:p>
            <w:pPr>
              <w:jc w:val="left"/>
              <w:ind w:firstLine="0"/>
            </w:pPr>
          </w:p>
        </w:tc>
        <w:tc>
          <w:tcPr>
            <w:tcW w:w="833" w:type="pct"/>
            <w:vAlign w:val="center"/>
          </w:tcPr>
          <w:p>
            <w:pPr>
              <w:jc w:val="left"/>
              <w:ind w:firstLine="0"/>
            </w:pPr>
          </w:p>
        </w:tc>
        <w:tc>
          <w:tcPr>
            <w:tcW w:w="833" w:type="pct"/>
            <w:vAlign w:val="center"/>
          </w:tcPr>
          <w:p>
            <w:pPr>
              <w:jc w:val="left"/>
              <w:ind w:firstLine="0"/>
            </w:pPr>
          </w:p>
        </w:tc>
        <w:tc>
          <w:tcPr>
            <w:tcW w:w="463" w:type="pct"/>
            <w:vAlign w:val="center"/>
          </w:tcPr>
          <w:p>
            <w:pPr>
              <w:jc w:val="left"/>
              <w:ind w:firstLine="0"/>
            </w:pPr>
          </w:p>
        </w:tc>
      </w:tr>
      <w:tr>
        <w:trPr>
          <w:trHeight w:val="397" w:hRule="atLeast"/>
        </w:trPr>
        <w:tc>
          <w:tcPr>
            <w:tcW w:w="278" w:type="pct"/>
            <w:vAlign w:val="center"/>
          </w:tcPr>
          <w:p>
            <w:pPr>
              <w:jc w:val="center"/>
              <w:ind w:firstLine="0"/>
            </w:pPr>
          </w:p>
        </w:tc>
        <w:tc>
          <w:tcPr>
            <w:tcW w:w="833" w:type="pct"/>
            <w:vAlign w:val="center"/>
          </w:tcPr>
          <w:p>
            <w:pPr>
              <w:jc w:val="left"/>
              <w:ind w:firstLine="0"/>
            </w:pPr>
          </w:p>
        </w:tc>
        <w:tc>
          <w:tcPr>
            <w:tcW w:w="833" w:type="pct"/>
            <w:vAlign w:val="center"/>
          </w:tcPr>
          <w:p>
            <w:pPr>
              <w:jc w:val="left"/>
              <w:ind w:firstLine="0"/>
            </w:pPr>
          </w:p>
        </w:tc>
        <w:tc>
          <w:tcPr>
            <w:tcW w:w="926" w:type="pct"/>
            <w:vAlign w:val="center"/>
          </w:tcPr>
          <w:p>
            <w:pPr>
              <w:jc w:val="left"/>
              <w:ind w:firstLine="0"/>
            </w:pPr>
          </w:p>
        </w:tc>
        <w:tc>
          <w:tcPr>
            <w:tcW w:w="833" w:type="pct"/>
            <w:vAlign w:val="center"/>
          </w:tcPr>
          <w:p>
            <w:pPr>
              <w:jc w:val="left"/>
              <w:ind w:firstLine="0"/>
            </w:pPr>
          </w:p>
        </w:tc>
        <w:tc>
          <w:tcPr>
            <w:tcW w:w="833" w:type="pct"/>
            <w:vAlign w:val="center"/>
          </w:tcPr>
          <w:p>
            <w:pPr>
              <w:jc w:val="left"/>
              <w:ind w:firstLine="0"/>
            </w:pPr>
          </w:p>
        </w:tc>
        <w:tc>
          <w:tcPr>
            <w:tcW w:w="463" w:type="pct"/>
            <w:vAlign w:val="center"/>
          </w:tcPr>
          <w:p>
            <w:pPr>
              <w:jc w:val="left"/>
              <w:ind w:firstLine="0"/>
            </w:pPr>
          </w:p>
        </w:tc>
      </w:tr>
      <w:tr>
        <w:trPr>
          <w:trHeight w:val="397" w:hRule="atLeast"/>
        </w:trPr>
        <w:tc>
          <w:tcPr>
            <w:tcW w:w="278" w:type="pct"/>
            <w:vAlign w:val="center"/>
          </w:tcPr>
          <w:p>
            <w:pPr>
              <w:jc w:val="center"/>
              <w:ind w:firstLine="0"/>
            </w:pPr>
          </w:p>
        </w:tc>
        <w:tc>
          <w:tcPr>
            <w:tcW w:w="833" w:type="pct"/>
            <w:vAlign w:val="center"/>
          </w:tcPr>
          <w:p>
            <w:pPr>
              <w:jc w:val="left"/>
              <w:ind w:firstLine="0"/>
            </w:pPr>
          </w:p>
        </w:tc>
        <w:tc>
          <w:tcPr>
            <w:tcW w:w="833" w:type="pct"/>
            <w:vAlign w:val="center"/>
          </w:tcPr>
          <w:p>
            <w:pPr>
              <w:jc w:val="left"/>
              <w:ind w:firstLine="0"/>
            </w:pPr>
          </w:p>
        </w:tc>
        <w:tc>
          <w:tcPr>
            <w:tcW w:w="926" w:type="pct"/>
            <w:vAlign w:val="center"/>
          </w:tcPr>
          <w:p>
            <w:pPr>
              <w:jc w:val="left"/>
              <w:ind w:firstLine="0"/>
            </w:pPr>
          </w:p>
        </w:tc>
        <w:tc>
          <w:tcPr>
            <w:tcW w:w="833" w:type="pct"/>
            <w:vAlign w:val="center"/>
          </w:tcPr>
          <w:p>
            <w:pPr>
              <w:jc w:val="left"/>
              <w:ind w:firstLine="0"/>
            </w:pPr>
          </w:p>
        </w:tc>
        <w:tc>
          <w:tcPr>
            <w:tcW w:w="833" w:type="pct"/>
            <w:vAlign w:val="center"/>
          </w:tcPr>
          <w:p>
            <w:pPr>
              <w:jc w:val="left"/>
              <w:ind w:firstLine="0"/>
            </w:pPr>
          </w:p>
        </w:tc>
        <w:tc>
          <w:tcPr>
            <w:tcW w:w="463" w:type="pct"/>
            <w:vAlign w:val="center"/>
          </w:tcPr>
          <w:p>
            <w:pPr>
              <w:jc w:val="left"/>
              <w:ind w:firstLine="0"/>
            </w:pPr>
          </w:p>
        </w:tc>
      </w:tr>
      <w:tr>
        <w:trPr>
          <w:trHeight w:val="397" w:hRule="atLeast"/>
        </w:trPr>
        <w:tc>
          <w:tcPr>
            <w:tcW w:w="278" w:type="pct"/>
            <w:vAlign w:val="center"/>
          </w:tcPr>
          <w:p>
            <w:pPr>
              <w:jc w:val="center"/>
              <w:ind w:firstLine="0"/>
            </w:pPr>
          </w:p>
        </w:tc>
        <w:tc>
          <w:tcPr>
            <w:tcW w:w="833" w:type="pct"/>
            <w:vAlign w:val="center"/>
          </w:tcPr>
          <w:p>
            <w:pPr>
              <w:jc w:val="left"/>
              <w:ind w:firstLine="0"/>
            </w:pPr>
          </w:p>
        </w:tc>
        <w:tc>
          <w:tcPr>
            <w:tcW w:w="833" w:type="pct"/>
            <w:vAlign w:val="center"/>
          </w:tcPr>
          <w:p>
            <w:pPr>
              <w:jc w:val="left"/>
              <w:ind w:firstLine="0"/>
            </w:pPr>
          </w:p>
        </w:tc>
        <w:tc>
          <w:tcPr>
            <w:tcW w:w="926" w:type="pct"/>
            <w:vAlign w:val="center"/>
          </w:tcPr>
          <w:p>
            <w:pPr>
              <w:jc w:val="left"/>
              <w:ind w:firstLine="0"/>
            </w:pPr>
          </w:p>
        </w:tc>
        <w:tc>
          <w:tcPr>
            <w:tcW w:w="833" w:type="pct"/>
            <w:vAlign w:val="center"/>
          </w:tcPr>
          <w:p>
            <w:pPr>
              <w:jc w:val="left"/>
              <w:ind w:firstLine="0"/>
            </w:pPr>
          </w:p>
        </w:tc>
        <w:tc>
          <w:tcPr>
            <w:tcW w:w="833" w:type="pct"/>
            <w:vAlign w:val="center"/>
          </w:tcPr>
          <w:p>
            <w:pPr>
              <w:jc w:val="left"/>
              <w:ind w:firstLine="0"/>
            </w:pPr>
          </w:p>
        </w:tc>
        <w:tc>
          <w:tcPr>
            <w:tcW w:w="463" w:type="pct"/>
            <w:vAlign w:val="center"/>
          </w:tcPr>
          <w:p>
            <w:pPr>
              <w:jc w:val="left"/>
              <w:ind w:firstLine="0"/>
            </w:pPr>
          </w:p>
        </w:tc>
      </w:tr>
      <w:tr>
        <w:trPr>
          <w:trHeight w:val="397" w:hRule="atLeast"/>
        </w:trPr>
        <w:tc>
          <w:tcPr>
            <w:tcW w:w="278" w:type="pct"/>
            <w:vAlign w:val="center"/>
          </w:tcPr>
          <w:p>
            <w:pPr>
              <w:jc w:val="center"/>
              <w:ind w:firstLine="0"/>
            </w:pPr>
          </w:p>
        </w:tc>
        <w:tc>
          <w:tcPr>
            <w:tcW w:w="833" w:type="pct"/>
            <w:vAlign w:val="center"/>
          </w:tcPr>
          <w:p>
            <w:pPr>
              <w:jc w:val="left"/>
              <w:ind w:firstLine="0"/>
            </w:pPr>
          </w:p>
        </w:tc>
        <w:tc>
          <w:tcPr>
            <w:tcW w:w="833" w:type="pct"/>
            <w:vAlign w:val="center"/>
          </w:tcPr>
          <w:p>
            <w:pPr>
              <w:jc w:val="left"/>
              <w:ind w:firstLine="0"/>
            </w:pPr>
          </w:p>
        </w:tc>
        <w:tc>
          <w:tcPr>
            <w:tcW w:w="926" w:type="pct"/>
            <w:vAlign w:val="center"/>
          </w:tcPr>
          <w:p>
            <w:pPr>
              <w:jc w:val="left"/>
              <w:ind w:firstLine="0"/>
            </w:pPr>
          </w:p>
        </w:tc>
        <w:tc>
          <w:tcPr>
            <w:tcW w:w="833" w:type="pct"/>
            <w:vAlign w:val="center"/>
          </w:tcPr>
          <w:p>
            <w:pPr>
              <w:jc w:val="left"/>
              <w:ind w:firstLine="0"/>
            </w:pPr>
          </w:p>
        </w:tc>
        <w:tc>
          <w:tcPr>
            <w:tcW w:w="833" w:type="pct"/>
            <w:vAlign w:val="center"/>
          </w:tcPr>
          <w:p>
            <w:pPr>
              <w:jc w:val="left"/>
              <w:ind w:firstLine="0"/>
            </w:pPr>
          </w:p>
        </w:tc>
        <w:tc>
          <w:tcPr>
            <w:tcW w:w="463" w:type="pct"/>
            <w:vAlign w:val="center"/>
          </w:tcPr>
          <w:p>
            <w:pPr>
              <w:jc w:val="left"/>
              <w:ind w:firstLine="0"/>
            </w:pPr>
          </w:p>
        </w:tc>
      </w:tr>
      <w:tr>
        <w:trPr>
          <w:trHeight w:val="397" w:hRule="atLeast"/>
        </w:trPr>
        <w:tc>
          <w:tcPr>
            <w:tcW w:w="278" w:type="pct"/>
            <w:vAlign w:val="center"/>
          </w:tcPr>
          <w:p>
            <w:pPr>
              <w:jc w:val="center"/>
              <w:ind w:firstLine="0"/>
            </w:pPr>
          </w:p>
        </w:tc>
        <w:tc>
          <w:tcPr>
            <w:tcW w:w="833" w:type="pct"/>
            <w:vAlign w:val="center"/>
          </w:tcPr>
          <w:p>
            <w:pPr>
              <w:jc w:val="left"/>
              <w:ind w:firstLine="0"/>
            </w:pPr>
          </w:p>
        </w:tc>
        <w:tc>
          <w:tcPr>
            <w:tcW w:w="833" w:type="pct"/>
            <w:vAlign w:val="center"/>
          </w:tcPr>
          <w:p>
            <w:pPr>
              <w:jc w:val="left"/>
              <w:ind w:firstLine="0"/>
            </w:pPr>
          </w:p>
        </w:tc>
        <w:tc>
          <w:tcPr>
            <w:tcW w:w="926" w:type="pct"/>
            <w:vAlign w:val="center"/>
          </w:tcPr>
          <w:p>
            <w:pPr>
              <w:jc w:val="left"/>
              <w:ind w:firstLine="0"/>
            </w:pPr>
          </w:p>
        </w:tc>
        <w:tc>
          <w:tcPr>
            <w:tcW w:w="833" w:type="pct"/>
            <w:vAlign w:val="center"/>
          </w:tcPr>
          <w:p>
            <w:pPr>
              <w:jc w:val="left"/>
              <w:ind w:firstLine="0"/>
            </w:pPr>
          </w:p>
        </w:tc>
        <w:tc>
          <w:tcPr>
            <w:tcW w:w="833" w:type="pct"/>
            <w:vAlign w:val="center"/>
          </w:tcPr>
          <w:p>
            <w:pPr>
              <w:jc w:val="left"/>
              <w:ind w:firstLine="0"/>
            </w:pPr>
          </w:p>
        </w:tc>
        <w:tc>
          <w:tcPr>
            <w:tcW w:w="463" w:type="pct"/>
            <w:vAlign w:val="center"/>
          </w:tcPr>
          <w:p>
            <w:pPr>
              <w:jc w:val="left"/>
              <w:ind w:firstLine="0"/>
            </w:pPr>
          </w:p>
        </w:tc>
      </w:tr>
      <w:tr>
        <w:trPr>
          <w:trHeight w:val="397" w:hRule="atLeast"/>
        </w:trPr>
        <w:tc>
          <w:tcPr>
            <w:tcW w:w="278" w:type="pct"/>
            <w:vAlign w:val="center"/>
          </w:tcPr>
          <w:p>
            <w:pPr>
              <w:jc w:val="center"/>
              <w:ind w:firstLine="0"/>
            </w:pPr>
          </w:p>
        </w:tc>
        <w:tc>
          <w:tcPr>
            <w:tcW w:w="833" w:type="pct"/>
            <w:vAlign w:val="center"/>
          </w:tcPr>
          <w:p>
            <w:pPr>
              <w:jc w:val="left"/>
              <w:ind w:firstLine="0"/>
            </w:pPr>
          </w:p>
        </w:tc>
        <w:tc>
          <w:tcPr>
            <w:tcW w:w="833" w:type="pct"/>
            <w:vAlign w:val="center"/>
          </w:tcPr>
          <w:p>
            <w:pPr>
              <w:jc w:val="left"/>
              <w:ind w:firstLine="0"/>
            </w:pPr>
          </w:p>
        </w:tc>
        <w:tc>
          <w:tcPr>
            <w:tcW w:w="926" w:type="pct"/>
            <w:vAlign w:val="center"/>
          </w:tcPr>
          <w:p>
            <w:pPr>
              <w:jc w:val="left"/>
              <w:ind w:firstLine="0"/>
            </w:pPr>
          </w:p>
        </w:tc>
        <w:tc>
          <w:tcPr>
            <w:tcW w:w="833" w:type="pct"/>
            <w:vAlign w:val="center"/>
          </w:tcPr>
          <w:p>
            <w:pPr>
              <w:jc w:val="left"/>
              <w:ind w:firstLine="0"/>
            </w:pPr>
          </w:p>
        </w:tc>
        <w:tc>
          <w:tcPr>
            <w:tcW w:w="833" w:type="pct"/>
            <w:vAlign w:val="center"/>
          </w:tcPr>
          <w:p>
            <w:pPr>
              <w:jc w:val="left"/>
              <w:ind w:firstLine="0"/>
            </w:pPr>
          </w:p>
        </w:tc>
        <w:tc>
          <w:tcPr>
            <w:tcW w:w="463" w:type="pct"/>
            <w:vAlign w:val="center"/>
          </w:tcPr>
          <w:p>
            <w:pPr>
              <w:jc w:val="left"/>
              <w:ind w:firstLine="0"/>
            </w:pPr>
          </w:p>
        </w:tc>
      </w:tr>
      <w:tr>
        <w:trPr>
          <w:trHeight w:val="397" w:hRule="atLeast"/>
        </w:trPr>
        <w:tc>
          <w:tcPr>
            <w:tcW w:w="278" w:type="pct"/>
            <w:vAlign w:val="center"/>
          </w:tcPr>
          <w:p>
            <w:pPr>
              <w:jc w:val="center"/>
              <w:ind w:firstLine="0"/>
            </w:pPr>
          </w:p>
        </w:tc>
        <w:tc>
          <w:tcPr>
            <w:tcW w:w="833" w:type="pct"/>
            <w:vAlign w:val="center"/>
          </w:tcPr>
          <w:p>
            <w:pPr>
              <w:jc w:val="left"/>
              <w:ind w:firstLine="0"/>
            </w:pPr>
          </w:p>
        </w:tc>
        <w:tc>
          <w:tcPr>
            <w:tcW w:w="833" w:type="pct"/>
            <w:vAlign w:val="center"/>
          </w:tcPr>
          <w:p>
            <w:pPr>
              <w:jc w:val="left"/>
              <w:ind w:firstLine="0"/>
            </w:pPr>
          </w:p>
        </w:tc>
        <w:tc>
          <w:tcPr>
            <w:tcW w:w="926" w:type="pct"/>
            <w:vAlign w:val="center"/>
          </w:tcPr>
          <w:p>
            <w:pPr>
              <w:jc w:val="left"/>
              <w:ind w:firstLine="0"/>
            </w:pPr>
          </w:p>
        </w:tc>
        <w:tc>
          <w:tcPr>
            <w:tcW w:w="833" w:type="pct"/>
            <w:vAlign w:val="center"/>
          </w:tcPr>
          <w:p>
            <w:pPr>
              <w:jc w:val="left"/>
              <w:ind w:firstLine="0"/>
            </w:pPr>
          </w:p>
        </w:tc>
        <w:tc>
          <w:tcPr>
            <w:tcW w:w="833" w:type="pct"/>
            <w:vAlign w:val="center"/>
          </w:tcPr>
          <w:p>
            <w:pPr>
              <w:jc w:val="left"/>
              <w:ind w:firstLine="0"/>
            </w:pPr>
          </w:p>
        </w:tc>
        <w:tc>
          <w:tcPr>
            <w:tcW w:w="463" w:type="pct"/>
            <w:vAlign w:val="center"/>
          </w:tcPr>
          <w:p>
            <w:pPr>
              <w:jc w:val="left"/>
              <w:ind w:firstLine="0"/>
            </w:pPr>
          </w:p>
        </w:tc>
      </w:tr>
      <w:tr>
        <w:trPr>
          <w:trHeight w:val="397" w:hRule="atLeast"/>
        </w:trPr>
        <w:tc>
          <w:tcPr>
            <w:tcW w:w="278" w:type="pct"/>
            <w:vAlign w:val="center"/>
          </w:tcPr>
          <w:p>
            <w:pPr>
              <w:jc w:val="center"/>
              <w:ind w:firstLine="0"/>
            </w:pPr>
          </w:p>
        </w:tc>
        <w:tc>
          <w:tcPr>
            <w:tcW w:w="833" w:type="pct"/>
            <w:vAlign w:val="center"/>
          </w:tcPr>
          <w:p>
            <w:pPr>
              <w:jc w:val="left"/>
              <w:ind w:firstLine="0"/>
            </w:pPr>
          </w:p>
        </w:tc>
        <w:tc>
          <w:tcPr>
            <w:tcW w:w="833" w:type="pct"/>
            <w:vAlign w:val="center"/>
          </w:tcPr>
          <w:p>
            <w:pPr>
              <w:jc w:val="left"/>
              <w:ind w:firstLine="0"/>
            </w:pPr>
          </w:p>
        </w:tc>
        <w:tc>
          <w:tcPr>
            <w:tcW w:w="926" w:type="pct"/>
            <w:vAlign w:val="center"/>
          </w:tcPr>
          <w:p>
            <w:pPr>
              <w:jc w:val="left"/>
              <w:ind w:firstLine="0"/>
            </w:pPr>
          </w:p>
        </w:tc>
        <w:tc>
          <w:tcPr>
            <w:tcW w:w="833" w:type="pct"/>
            <w:vAlign w:val="center"/>
          </w:tcPr>
          <w:p>
            <w:pPr>
              <w:jc w:val="left"/>
              <w:ind w:firstLine="0"/>
            </w:pPr>
          </w:p>
        </w:tc>
        <w:tc>
          <w:tcPr>
            <w:tcW w:w="833" w:type="pct"/>
            <w:vAlign w:val="center"/>
          </w:tcPr>
          <w:p>
            <w:pPr>
              <w:jc w:val="left"/>
              <w:ind w:firstLine="0"/>
            </w:pPr>
          </w:p>
        </w:tc>
        <w:tc>
          <w:tcPr>
            <w:tcW w:w="463" w:type="pct"/>
            <w:vAlign w:val="center"/>
          </w:tcPr>
          <w:p>
            <w:pPr>
              <w:jc w:val="left"/>
              <w:ind w:firstLine="0"/>
            </w:pPr>
          </w:p>
        </w:tc>
      </w:tr>
      <w:tr>
        <w:trPr>
          <w:trHeight w:val="397" w:hRule="atLeast"/>
        </w:trPr>
        <w:tc>
          <w:tcPr>
            <w:tcW w:w="278" w:type="pct"/>
            <w:vAlign w:val="center"/>
          </w:tcPr>
          <w:p>
            <w:pPr>
              <w:jc w:val="center"/>
              <w:ind w:firstLine="0"/>
            </w:pPr>
          </w:p>
        </w:tc>
        <w:tc>
          <w:tcPr>
            <w:tcW w:w="833" w:type="pct"/>
            <w:vAlign w:val="center"/>
          </w:tcPr>
          <w:p>
            <w:pPr>
              <w:jc w:val="left"/>
              <w:ind w:firstLine="0"/>
            </w:pPr>
          </w:p>
        </w:tc>
        <w:tc>
          <w:tcPr>
            <w:tcW w:w="833" w:type="pct"/>
            <w:vAlign w:val="center"/>
          </w:tcPr>
          <w:p>
            <w:pPr>
              <w:jc w:val="left"/>
              <w:ind w:firstLine="0"/>
            </w:pPr>
          </w:p>
        </w:tc>
        <w:tc>
          <w:tcPr>
            <w:tcW w:w="926" w:type="pct"/>
            <w:vAlign w:val="center"/>
          </w:tcPr>
          <w:p>
            <w:pPr>
              <w:jc w:val="left"/>
              <w:ind w:firstLine="0"/>
            </w:pPr>
          </w:p>
        </w:tc>
        <w:tc>
          <w:tcPr>
            <w:tcW w:w="833" w:type="pct"/>
            <w:vAlign w:val="center"/>
          </w:tcPr>
          <w:p>
            <w:pPr>
              <w:jc w:val="left"/>
              <w:ind w:firstLine="0"/>
            </w:pPr>
          </w:p>
        </w:tc>
        <w:tc>
          <w:tcPr>
            <w:tcW w:w="833" w:type="pct"/>
            <w:vAlign w:val="center"/>
          </w:tcPr>
          <w:p>
            <w:pPr>
              <w:jc w:val="left"/>
              <w:ind w:firstLine="0"/>
            </w:pPr>
          </w:p>
        </w:tc>
        <w:tc>
          <w:tcPr>
            <w:tcW w:w="463" w:type="pct"/>
            <w:vAlign w:val="center"/>
          </w:tcPr>
          <w:p>
            <w:pPr>
              <w:jc w:val="left"/>
              <w:ind w:firstLine="0"/>
            </w:pPr>
          </w:p>
        </w:tc>
      </w:tr>
      <w:tr>
        <w:trPr>
          <w:trHeight w:val="397" w:hRule="atLeast"/>
        </w:trPr>
        <w:tc>
          <w:tcPr>
            <w:tcW w:w="278" w:type="pct"/>
            <w:vAlign w:val="center"/>
          </w:tcPr>
          <w:p>
            <w:pPr>
              <w:jc w:val="center"/>
              <w:ind w:firstLine="0"/>
            </w:pPr>
          </w:p>
        </w:tc>
        <w:tc>
          <w:tcPr>
            <w:tcW w:w="833" w:type="pct"/>
            <w:vAlign w:val="center"/>
          </w:tcPr>
          <w:p>
            <w:pPr>
              <w:jc w:val="left"/>
              <w:ind w:firstLine="0"/>
            </w:pPr>
          </w:p>
        </w:tc>
        <w:tc>
          <w:tcPr>
            <w:tcW w:w="833" w:type="pct"/>
            <w:vAlign w:val="center"/>
          </w:tcPr>
          <w:p>
            <w:pPr>
              <w:jc w:val="left"/>
              <w:ind w:firstLine="0"/>
            </w:pPr>
          </w:p>
        </w:tc>
        <w:tc>
          <w:tcPr>
            <w:tcW w:w="926" w:type="pct"/>
            <w:vAlign w:val="center"/>
          </w:tcPr>
          <w:p>
            <w:pPr>
              <w:jc w:val="left"/>
              <w:ind w:firstLine="0"/>
            </w:pPr>
          </w:p>
        </w:tc>
        <w:tc>
          <w:tcPr>
            <w:tcW w:w="833" w:type="pct"/>
            <w:vAlign w:val="center"/>
          </w:tcPr>
          <w:p>
            <w:pPr>
              <w:jc w:val="left"/>
              <w:ind w:firstLine="0"/>
            </w:pPr>
          </w:p>
        </w:tc>
        <w:tc>
          <w:tcPr>
            <w:tcW w:w="833" w:type="pct"/>
            <w:vAlign w:val="center"/>
          </w:tcPr>
          <w:p>
            <w:pPr>
              <w:jc w:val="left"/>
              <w:ind w:firstLine="0"/>
            </w:pPr>
          </w:p>
        </w:tc>
        <w:tc>
          <w:tcPr>
            <w:tcW w:w="463" w:type="pct"/>
            <w:vAlign w:val="center"/>
          </w:tcPr>
          <w:p>
            <w:pPr>
              <w:jc w:val="left"/>
              <w:ind w:firstLine="0"/>
            </w:pPr>
          </w:p>
        </w:tc>
      </w:tr>
      <w:tr>
        <w:trPr>
          <w:trHeight w:val="397" w:hRule="atLeast"/>
        </w:trPr>
        <w:tc>
          <w:tcPr>
            <w:tcW w:w="278" w:type="pct"/>
            <w:vAlign w:val="center"/>
          </w:tcPr>
          <w:p>
            <w:pPr>
              <w:jc w:val="center"/>
              <w:ind w:firstLine="0"/>
            </w:pPr>
          </w:p>
        </w:tc>
        <w:tc>
          <w:tcPr>
            <w:tcW w:w="833" w:type="pct"/>
            <w:vAlign w:val="center"/>
          </w:tcPr>
          <w:p>
            <w:pPr>
              <w:jc w:val="left"/>
              <w:ind w:firstLine="0"/>
            </w:pPr>
          </w:p>
        </w:tc>
        <w:tc>
          <w:tcPr>
            <w:tcW w:w="833" w:type="pct"/>
            <w:vAlign w:val="center"/>
          </w:tcPr>
          <w:p>
            <w:pPr>
              <w:jc w:val="left"/>
              <w:ind w:firstLine="0"/>
            </w:pPr>
          </w:p>
        </w:tc>
        <w:tc>
          <w:tcPr>
            <w:tcW w:w="926" w:type="pct"/>
            <w:vAlign w:val="center"/>
          </w:tcPr>
          <w:p>
            <w:pPr>
              <w:jc w:val="left"/>
              <w:ind w:firstLine="0"/>
            </w:pPr>
          </w:p>
        </w:tc>
        <w:tc>
          <w:tcPr>
            <w:tcW w:w="833" w:type="pct"/>
            <w:vAlign w:val="center"/>
          </w:tcPr>
          <w:p>
            <w:pPr>
              <w:jc w:val="left"/>
              <w:ind w:firstLine="0"/>
            </w:pPr>
          </w:p>
        </w:tc>
        <w:tc>
          <w:tcPr>
            <w:tcW w:w="833" w:type="pct"/>
            <w:vAlign w:val="center"/>
          </w:tcPr>
          <w:p>
            <w:pPr>
              <w:jc w:val="left"/>
              <w:ind w:firstLine="0"/>
            </w:pPr>
          </w:p>
        </w:tc>
        <w:tc>
          <w:tcPr>
            <w:tcW w:w="463" w:type="pct"/>
            <w:vAlign w:val="center"/>
          </w:tcPr>
          <w:p>
            <w:pPr>
              <w:jc w:val="left"/>
              <w:ind w:firstLine="0"/>
            </w:pPr>
          </w:p>
        </w:tc>
      </w:tr>
      <w:tr>
        <w:trPr>
          <w:trHeight w:val="397" w:hRule="atLeast"/>
        </w:trPr>
        <w:tc>
          <w:tcPr>
            <w:tcW w:w="278" w:type="pct"/>
            <w:vAlign w:val="center"/>
          </w:tcPr>
          <w:p>
            <w:pPr>
              <w:jc w:val="center"/>
              <w:ind w:firstLine="0"/>
            </w:pPr>
          </w:p>
        </w:tc>
        <w:tc>
          <w:tcPr>
            <w:tcW w:w="833" w:type="pct"/>
            <w:vAlign w:val="center"/>
          </w:tcPr>
          <w:p>
            <w:pPr>
              <w:jc w:val="left"/>
              <w:ind w:firstLine="0"/>
            </w:pPr>
          </w:p>
        </w:tc>
        <w:tc>
          <w:tcPr>
            <w:tcW w:w="833" w:type="pct"/>
            <w:vAlign w:val="center"/>
          </w:tcPr>
          <w:p>
            <w:pPr>
              <w:jc w:val="left"/>
              <w:ind w:firstLine="0"/>
            </w:pPr>
          </w:p>
        </w:tc>
        <w:tc>
          <w:tcPr>
            <w:tcW w:w="926" w:type="pct"/>
            <w:vAlign w:val="center"/>
          </w:tcPr>
          <w:p>
            <w:pPr>
              <w:jc w:val="left"/>
              <w:ind w:firstLine="0"/>
            </w:pPr>
          </w:p>
        </w:tc>
        <w:tc>
          <w:tcPr>
            <w:tcW w:w="833" w:type="pct"/>
            <w:vAlign w:val="center"/>
          </w:tcPr>
          <w:p>
            <w:pPr>
              <w:jc w:val="left"/>
              <w:ind w:firstLine="0"/>
            </w:pPr>
          </w:p>
        </w:tc>
        <w:tc>
          <w:tcPr>
            <w:tcW w:w="833" w:type="pct"/>
            <w:vAlign w:val="center"/>
          </w:tcPr>
          <w:p>
            <w:pPr>
              <w:jc w:val="left"/>
              <w:ind w:firstLine="0"/>
            </w:pPr>
          </w:p>
        </w:tc>
        <w:tc>
          <w:tcPr>
            <w:tcW w:w="463" w:type="pct"/>
            <w:vAlign w:val="center"/>
          </w:tcPr>
          <w:p>
            <w:pPr>
              <w:jc w:val="left"/>
              <w:ind w:firstLine="0"/>
            </w:pPr>
          </w:p>
        </w:tc>
      </w:tr>
    </w:tbl>
    <w:p/>
    <w:p>
      <w:pPr>
        <w:ind w:firstLine="425"/>
      </w:pPr>
      <w:r>
        <w:t xml:space="preserve">Итого основной долг: 940000 рублей по поставкам от 20.02.2026 и 27.02.2026.</w:t>
      </w:r>
    </w:p>
    <w:p>
      <w:pPr>
        <w:ind w:firstLine="425"/>
      </w:pPr>
      <w:r>
        <w:t xml:space="preserve">Состояние расчётов подтверждается документом: акт сверки взаимных расчётов по состоянию на 28.02.2026, подписанный обеими сторонами.</w:t>
      </w:r>
    </w:p>
    <w:p>
      <w:pPr>
        <w:pageBreakBefore/>
      </w:pPr>
    </w:p>
    <w:p>
      <w:pPr>
        <w:jc w:val="right"/>
      </w:pPr>
      <w:r>
        <w:rPr>
          <w:b/>
        </w:rPr>
        <w:t xml:space="preserve">Приложение № 3 к документу</w:t>
      </w:r>
    </w:p>
    <w:p>
      <w:pPr>
        <w:pStyle w:val="DocTitle"/>
      </w:pPr>
      <w:r>
        <w:t xml:space="preserve">Расчёт неустойки (процентов) за просрочку</w:t>
      </w:r>
    </w:p>
    <w:p>
      <w:pPr>
        <w:ind w:firstLine="425"/>
      </w:pPr>
      <w:r>
        <w:t xml:space="preserve">Санкция начислена по ставке 0,1 процента за каждый день просрочки; вид санкции — Пеня по договору за каждый день просрочки; расчёт по состоянию на 10.04.2026.</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629"/>
        <w:gridCol w:w="1886"/>
        <w:gridCol w:w="1886"/>
        <w:gridCol w:w="1886"/>
        <w:gridCol w:w="1257"/>
        <w:gridCol w:w="2096"/>
      </w:tblGrid>
      <w:tr>
        <w:tc>
          <w:tcPr>
            <w:tcW w:w="326" w:type="pct"/>
            <w:vAlign w:val="center"/>
          </w:tcPr>
          <w:p>
            <w:pPr>
              <w:jc w:val="center"/>
              <w:ind w:firstLine="0"/>
            </w:pPr>
            <w:r>
              <w:rPr>
                <w:b/>
              </w:rPr>
              <w:t xml:space="preserve">№</w:t>
            </w:r>
          </w:p>
        </w:tc>
        <w:tc>
          <w:tcPr>
            <w:tcW w:w="978" w:type="pct"/>
            <w:vAlign w:val="center"/>
          </w:tcPr>
          <w:p>
            <w:pPr>
              <w:jc w:val="center"/>
              <w:ind w:firstLine="0"/>
            </w:pPr>
            <w:r>
              <w:rPr>
                <w:b/>
              </w:rPr>
              <w:t xml:space="preserve">Период просрочки</w:t>
            </w:r>
          </w:p>
        </w:tc>
        <w:tc>
          <w:tcPr>
            <w:tcW w:w="978" w:type="pct"/>
            <w:vAlign w:val="center"/>
          </w:tcPr>
          <w:p>
            <w:pPr>
              <w:jc w:val="center"/>
              <w:ind w:firstLine="0"/>
            </w:pPr>
            <w:r>
              <w:rPr>
                <w:b/>
              </w:rPr>
              <w:t xml:space="preserve">Сумма долга, руб.</w:t>
            </w:r>
          </w:p>
        </w:tc>
        <w:tc>
          <w:tcPr>
            <w:tcW w:w="978" w:type="pct"/>
            <w:vAlign w:val="center"/>
          </w:tcPr>
          <w:p>
            <w:pPr>
              <w:jc w:val="center"/>
              <w:ind w:firstLine="0"/>
            </w:pPr>
            <w:r>
              <w:rPr>
                <w:b/>
              </w:rPr>
              <w:t xml:space="preserve">Дней просрочки</w:t>
            </w:r>
          </w:p>
        </w:tc>
        <w:tc>
          <w:tcPr>
            <w:tcW w:w="652" w:type="pct"/>
            <w:vAlign w:val="center"/>
          </w:tcPr>
          <w:p>
            <w:pPr>
              <w:jc w:val="center"/>
              <w:ind w:firstLine="0"/>
            </w:pPr>
            <w:r>
              <w:rPr>
                <w:b/>
              </w:rPr>
              <w:t xml:space="preserve">Ставка</w:t>
            </w:r>
          </w:p>
        </w:tc>
        <w:tc>
          <w:tcPr>
            <w:tcW w:w="1087" w:type="pct"/>
            <w:vAlign w:val="center"/>
          </w:tcPr>
          <w:p>
            <w:pPr>
              <w:jc w:val="center"/>
              <w:ind w:firstLine="0"/>
            </w:pPr>
            <w:r>
              <w:rPr>
                <w:b/>
              </w:rPr>
              <w:t xml:space="preserve">Начислено, руб.</w:t>
            </w:r>
          </w:p>
        </w:tc>
      </w:tr>
      <w:tr>
        <w:trPr>
          <w:trHeight w:val="397" w:hRule="atLeast"/>
        </w:trPr>
        <w:tc>
          <w:tcPr>
            <w:tcW w:w="326" w:type="pct"/>
            <w:vAlign w:val="center"/>
          </w:tcPr>
          <w:p>
            <w:pPr>
              <w:jc w:val="center"/>
              <w:ind w:firstLine="0"/>
            </w:pPr>
          </w:p>
        </w:tc>
        <w:tc>
          <w:tcPr>
            <w:tcW w:w="978" w:type="pct"/>
            <w:vAlign w:val="center"/>
          </w:tcPr>
          <w:p>
            <w:pPr>
              <w:jc w:val="left"/>
              <w:ind w:firstLine="0"/>
            </w:pPr>
          </w:p>
        </w:tc>
        <w:tc>
          <w:tcPr>
            <w:tcW w:w="978" w:type="pct"/>
            <w:vAlign w:val="center"/>
          </w:tcPr>
          <w:p>
            <w:pPr>
              <w:jc w:val="left"/>
              <w:ind w:firstLine="0"/>
            </w:pPr>
          </w:p>
        </w:tc>
        <w:tc>
          <w:tcPr>
            <w:tcW w:w="978" w:type="pct"/>
            <w:vAlign w:val="center"/>
          </w:tcPr>
          <w:p>
            <w:pPr>
              <w:jc w:val="left"/>
              <w:ind w:firstLine="0"/>
            </w:pPr>
          </w:p>
        </w:tc>
        <w:tc>
          <w:tcPr>
            <w:tcW w:w="652" w:type="pct"/>
            <w:vAlign w:val="center"/>
          </w:tcPr>
          <w:p>
            <w:pPr>
              <w:jc w:val="left"/>
              <w:ind w:firstLine="0"/>
            </w:pPr>
          </w:p>
        </w:tc>
        <w:tc>
          <w:tcPr>
            <w:tcW w:w="1087" w:type="pct"/>
            <w:vAlign w:val="center"/>
          </w:tcPr>
          <w:p>
            <w:pPr>
              <w:jc w:val="left"/>
              <w:ind w:firstLine="0"/>
            </w:pPr>
          </w:p>
        </w:tc>
      </w:tr>
      <w:tr>
        <w:trPr>
          <w:trHeight w:val="397" w:hRule="atLeast"/>
        </w:trPr>
        <w:tc>
          <w:tcPr>
            <w:tcW w:w="326" w:type="pct"/>
            <w:vAlign w:val="center"/>
          </w:tcPr>
          <w:p>
            <w:pPr>
              <w:jc w:val="center"/>
              <w:ind w:firstLine="0"/>
            </w:pPr>
          </w:p>
        </w:tc>
        <w:tc>
          <w:tcPr>
            <w:tcW w:w="978" w:type="pct"/>
            <w:vAlign w:val="center"/>
          </w:tcPr>
          <w:p>
            <w:pPr>
              <w:jc w:val="left"/>
              <w:ind w:firstLine="0"/>
            </w:pPr>
          </w:p>
        </w:tc>
        <w:tc>
          <w:tcPr>
            <w:tcW w:w="978" w:type="pct"/>
            <w:vAlign w:val="center"/>
          </w:tcPr>
          <w:p>
            <w:pPr>
              <w:jc w:val="left"/>
              <w:ind w:firstLine="0"/>
            </w:pPr>
          </w:p>
        </w:tc>
        <w:tc>
          <w:tcPr>
            <w:tcW w:w="978" w:type="pct"/>
            <w:vAlign w:val="center"/>
          </w:tcPr>
          <w:p>
            <w:pPr>
              <w:jc w:val="left"/>
              <w:ind w:firstLine="0"/>
            </w:pPr>
          </w:p>
        </w:tc>
        <w:tc>
          <w:tcPr>
            <w:tcW w:w="652" w:type="pct"/>
            <w:vAlign w:val="center"/>
          </w:tcPr>
          <w:p>
            <w:pPr>
              <w:jc w:val="left"/>
              <w:ind w:firstLine="0"/>
            </w:pPr>
          </w:p>
        </w:tc>
        <w:tc>
          <w:tcPr>
            <w:tcW w:w="1087" w:type="pct"/>
            <w:vAlign w:val="center"/>
          </w:tcPr>
          <w:p>
            <w:pPr>
              <w:jc w:val="left"/>
              <w:ind w:firstLine="0"/>
            </w:pPr>
          </w:p>
        </w:tc>
      </w:tr>
      <w:tr>
        <w:trPr>
          <w:trHeight w:val="397" w:hRule="atLeast"/>
        </w:trPr>
        <w:tc>
          <w:tcPr>
            <w:tcW w:w="326" w:type="pct"/>
            <w:vAlign w:val="center"/>
          </w:tcPr>
          <w:p>
            <w:pPr>
              <w:jc w:val="center"/>
              <w:ind w:firstLine="0"/>
            </w:pPr>
          </w:p>
        </w:tc>
        <w:tc>
          <w:tcPr>
            <w:tcW w:w="978" w:type="pct"/>
            <w:vAlign w:val="center"/>
          </w:tcPr>
          <w:p>
            <w:pPr>
              <w:jc w:val="left"/>
              <w:ind w:firstLine="0"/>
            </w:pPr>
          </w:p>
        </w:tc>
        <w:tc>
          <w:tcPr>
            <w:tcW w:w="978" w:type="pct"/>
            <w:vAlign w:val="center"/>
          </w:tcPr>
          <w:p>
            <w:pPr>
              <w:jc w:val="left"/>
              <w:ind w:firstLine="0"/>
            </w:pPr>
          </w:p>
        </w:tc>
        <w:tc>
          <w:tcPr>
            <w:tcW w:w="978" w:type="pct"/>
            <w:vAlign w:val="center"/>
          </w:tcPr>
          <w:p>
            <w:pPr>
              <w:jc w:val="left"/>
              <w:ind w:firstLine="0"/>
            </w:pPr>
          </w:p>
        </w:tc>
        <w:tc>
          <w:tcPr>
            <w:tcW w:w="652" w:type="pct"/>
            <w:vAlign w:val="center"/>
          </w:tcPr>
          <w:p>
            <w:pPr>
              <w:jc w:val="left"/>
              <w:ind w:firstLine="0"/>
            </w:pPr>
          </w:p>
        </w:tc>
        <w:tc>
          <w:tcPr>
            <w:tcW w:w="1087" w:type="pct"/>
            <w:vAlign w:val="center"/>
          </w:tcPr>
          <w:p>
            <w:pPr>
              <w:jc w:val="left"/>
              <w:ind w:firstLine="0"/>
            </w:pPr>
          </w:p>
        </w:tc>
      </w:tr>
      <w:tr>
        <w:trPr>
          <w:trHeight w:val="397" w:hRule="atLeast"/>
        </w:trPr>
        <w:tc>
          <w:tcPr>
            <w:tcW w:w="326" w:type="pct"/>
            <w:vAlign w:val="center"/>
          </w:tcPr>
          <w:p>
            <w:pPr>
              <w:jc w:val="center"/>
              <w:ind w:firstLine="0"/>
            </w:pPr>
          </w:p>
        </w:tc>
        <w:tc>
          <w:tcPr>
            <w:tcW w:w="978" w:type="pct"/>
            <w:vAlign w:val="center"/>
          </w:tcPr>
          <w:p>
            <w:pPr>
              <w:jc w:val="left"/>
              <w:ind w:firstLine="0"/>
            </w:pPr>
          </w:p>
        </w:tc>
        <w:tc>
          <w:tcPr>
            <w:tcW w:w="978" w:type="pct"/>
            <w:vAlign w:val="center"/>
          </w:tcPr>
          <w:p>
            <w:pPr>
              <w:jc w:val="left"/>
              <w:ind w:firstLine="0"/>
            </w:pPr>
          </w:p>
        </w:tc>
        <w:tc>
          <w:tcPr>
            <w:tcW w:w="978" w:type="pct"/>
            <w:vAlign w:val="center"/>
          </w:tcPr>
          <w:p>
            <w:pPr>
              <w:jc w:val="left"/>
              <w:ind w:firstLine="0"/>
            </w:pPr>
          </w:p>
        </w:tc>
        <w:tc>
          <w:tcPr>
            <w:tcW w:w="652" w:type="pct"/>
            <w:vAlign w:val="center"/>
          </w:tcPr>
          <w:p>
            <w:pPr>
              <w:jc w:val="left"/>
              <w:ind w:firstLine="0"/>
            </w:pPr>
          </w:p>
        </w:tc>
        <w:tc>
          <w:tcPr>
            <w:tcW w:w="1087" w:type="pct"/>
            <w:vAlign w:val="center"/>
          </w:tcPr>
          <w:p>
            <w:pPr>
              <w:jc w:val="left"/>
              <w:ind w:firstLine="0"/>
            </w:pPr>
          </w:p>
        </w:tc>
      </w:tr>
      <w:tr>
        <w:trPr>
          <w:trHeight w:val="397" w:hRule="atLeast"/>
        </w:trPr>
        <w:tc>
          <w:tcPr>
            <w:tcW w:w="326" w:type="pct"/>
            <w:vAlign w:val="center"/>
          </w:tcPr>
          <w:p>
            <w:pPr>
              <w:jc w:val="center"/>
              <w:ind w:firstLine="0"/>
            </w:pPr>
          </w:p>
        </w:tc>
        <w:tc>
          <w:tcPr>
            <w:tcW w:w="978" w:type="pct"/>
            <w:vAlign w:val="center"/>
          </w:tcPr>
          <w:p>
            <w:pPr>
              <w:jc w:val="left"/>
              <w:ind w:firstLine="0"/>
            </w:pPr>
          </w:p>
        </w:tc>
        <w:tc>
          <w:tcPr>
            <w:tcW w:w="978" w:type="pct"/>
            <w:vAlign w:val="center"/>
          </w:tcPr>
          <w:p>
            <w:pPr>
              <w:jc w:val="left"/>
              <w:ind w:firstLine="0"/>
            </w:pPr>
          </w:p>
        </w:tc>
        <w:tc>
          <w:tcPr>
            <w:tcW w:w="978" w:type="pct"/>
            <w:vAlign w:val="center"/>
          </w:tcPr>
          <w:p>
            <w:pPr>
              <w:jc w:val="left"/>
              <w:ind w:firstLine="0"/>
            </w:pPr>
          </w:p>
        </w:tc>
        <w:tc>
          <w:tcPr>
            <w:tcW w:w="652" w:type="pct"/>
            <w:vAlign w:val="center"/>
          </w:tcPr>
          <w:p>
            <w:pPr>
              <w:jc w:val="left"/>
              <w:ind w:firstLine="0"/>
            </w:pPr>
          </w:p>
        </w:tc>
        <w:tc>
          <w:tcPr>
            <w:tcW w:w="1087" w:type="pct"/>
            <w:vAlign w:val="center"/>
          </w:tcPr>
          <w:p>
            <w:pPr>
              <w:jc w:val="left"/>
              <w:ind w:firstLine="0"/>
            </w:pPr>
          </w:p>
        </w:tc>
      </w:tr>
      <w:tr>
        <w:trPr>
          <w:trHeight w:val="397" w:hRule="atLeast"/>
        </w:trPr>
        <w:tc>
          <w:tcPr>
            <w:tcW w:w="326" w:type="pct"/>
            <w:vAlign w:val="center"/>
          </w:tcPr>
          <w:p>
            <w:pPr>
              <w:jc w:val="center"/>
              <w:ind w:firstLine="0"/>
            </w:pPr>
          </w:p>
        </w:tc>
        <w:tc>
          <w:tcPr>
            <w:tcW w:w="978" w:type="pct"/>
            <w:vAlign w:val="center"/>
          </w:tcPr>
          <w:p>
            <w:pPr>
              <w:jc w:val="left"/>
              <w:ind w:firstLine="0"/>
            </w:pPr>
          </w:p>
        </w:tc>
        <w:tc>
          <w:tcPr>
            <w:tcW w:w="978" w:type="pct"/>
            <w:vAlign w:val="center"/>
          </w:tcPr>
          <w:p>
            <w:pPr>
              <w:jc w:val="left"/>
              <w:ind w:firstLine="0"/>
            </w:pPr>
          </w:p>
        </w:tc>
        <w:tc>
          <w:tcPr>
            <w:tcW w:w="978" w:type="pct"/>
            <w:vAlign w:val="center"/>
          </w:tcPr>
          <w:p>
            <w:pPr>
              <w:jc w:val="left"/>
              <w:ind w:firstLine="0"/>
            </w:pPr>
          </w:p>
        </w:tc>
        <w:tc>
          <w:tcPr>
            <w:tcW w:w="652" w:type="pct"/>
            <w:vAlign w:val="center"/>
          </w:tcPr>
          <w:p>
            <w:pPr>
              <w:jc w:val="left"/>
              <w:ind w:firstLine="0"/>
            </w:pPr>
          </w:p>
        </w:tc>
        <w:tc>
          <w:tcPr>
            <w:tcW w:w="1087" w:type="pct"/>
            <w:vAlign w:val="center"/>
          </w:tcPr>
          <w:p>
            <w:pPr>
              <w:jc w:val="left"/>
              <w:ind w:firstLine="0"/>
            </w:pPr>
          </w:p>
        </w:tc>
      </w:tr>
      <w:tr>
        <w:trPr>
          <w:trHeight w:val="397" w:hRule="atLeast"/>
        </w:trPr>
        <w:tc>
          <w:tcPr>
            <w:tcW w:w="326" w:type="pct"/>
            <w:vAlign w:val="center"/>
          </w:tcPr>
          <w:p>
            <w:pPr>
              <w:jc w:val="center"/>
              <w:ind w:firstLine="0"/>
            </w:pPr>
          </w:p>
        </w:tc>
        <w:tc>
          <w:tcPr>
            <w:tcW w:w="978" w:type="pct"/>
            <w:vAlign w:val="center"/>
          </w:tcPr>
          <w:p>
            <w:pPr>
              <w:jc w:val="left"/>
              <w:ind w:firstLine="0"/>
            </w:pPr>
          </w:p>
        </w:tc>
        <w:tc>
          <w:tcPr>
            <w:tcW w:w="978" w:type="pct"/>
            <w:vAlign w:val="center"/>
          </w:tcPr>
          <w:p>
            <w:pPr>
              <w:jc w:val="left"/>
              <w:ind w:firstLine="0"/>
            </w:pPr>
          </w:p>
        </w:tc>
        <w:tc>
          <w:tcPr>
            <w:tcW w:w="978" w:type="pct"/>
            <w:vAlign w:val="center"/>
          </w:tcPr>
          <w:p>
            <w:pPr>
              <w:jc w:val="left"/>
              <w:ind w:firstLine="0"/>
            </w:pPr>
          </w:p>
        </w:tc>
        <w:tc>
          <w:tcPr>
            <w:tcW w:w="652" w:type="pct"/>
            <w:vAlign w:val="center"/>
          </w:tcPr>
          <w:p>
            <w:pPr>
              <w:jc w:val="left"/>
              <w:ind w:firstLine="0"/>
            </w:pPr>
          </w:p>
        </w:tc>
        <w:tc>
          <w:tcPr>
            <w:tcW w:w="1087" w:type="pct"/>
            <w:vAlign w:val="center"/>
          </w:tcPr>
          <w:p>
            <w:pPr>
              <w:jc w:val="left"/>
              <w:ind w:firstLine="0"/>
            </w:pPr>
          </w:p>
        </w:tc>
      </w:tr>
      <w:tr>
        <w:trPr>
          <w:trHeight w:val="397" w:hRule="atLeast"/>
        </w:trPr>
        <w:tc>
          <w:tcPr>
            <w:tcW w:w="326" w:type="pct"/>
            <w:vAlign w:val="center"/>
          </w:tcPr>
          <w:p>
            <w:pPr>
              <w:jc w:val="center"/>
              <w:ind w:firstLine="0"/>
            </w:pPr>
          </w:p>
        </w:tc>
        <w:tc>
          <w:tcPr>
            <w:tcW w:w="978" w:type="pct"/>
            <w:vAlign w:val="center"/>
          </w:tcPr>
          <w:p>
            <w:pPr>
              <w:jc w:val="left"/>
              <w:ind w:firstLine="0"/>
            </w:pPr>
          </w:p>
        </w:tc>
        <w:tc>
          <w:tcPr>
            <w:tcW w:w="978" w:type="pct"/>
            <w:vAlign w:val="center"/>
          </w:tcPr>
          <w:p>
            <w:pPr>
              <w:jc w:val="left"/>
              <w:ind w:firstLine="0"/>
            </w:pPr>
          </w:p>
        </w:tc>
        <w:tc>
          <w:tcPr>
            <w:tcW w:w="978" w:type="pct"/>
            <w:vAlign w:val="center"/>
          </w:tcPr>
          <w:p>
            <w:pPr>
              <w:jc w:val="left"/>
              <w:ind w:firstLine="0"/>
            </w:pPr>
          </w:p>
        </w:tc>
        <w:tc>
          <w:tcPr>
            <w:tcW w:w="652" w:type="pct"/>
            <w:vAlign w:val="center"/>
          </w:tcPr>
          <w:p>
            <w:pPr>
              <w:jc w:val="left"/>
              <w:ind w:firstLine="0"/>
            </w:pPr>
          </w:p>
        </w:tc>
        <w:tc>
          <w:tcPr>
            <w:tcW w:w="1087" w:type="pct"/>
            <w:vAlign w:val="center"/>
          </w:tcPr>
          <w:p>
            <w:pPr>
              <w:jc w:val="left"/>
              <w:ind w:firstLine="0"/>
            </w:pPr>
          </w:p>
        </w:tc>
      </w:tr>
      <w:tr>
        <w:trPr>
          <w:trHeight w:val="397" w:hRule="atLeast"/>
        </w:trPr>
        <w:tc>
          <w:tcPr>
            <w:tcW w:w="326" w:type="pct"/>
            <w:vAlign w:val="center"/>
          </w:tcPr>
          <w:p>
            <w:pPr>
              <w:jc w:val="center"/>
              <w:ind w:firstLine="0"/>
            </w:pPr>
          </w:p>
        </w:tc>
        <w:tc>
          <w:tcPr>
            <w:tcW w:w="978" w:type="pct"/>
            <w:vAlign w:val="center"/>
          </w:tcPr>
          <w:p>
            <w:pPr>
              <w:jc w:val="left"/>
              <w:ind w:firstLine="0"/>
            </w:pPr>
          </w:p>
        </w:tc>
        <w:tc>
          <w:tcPr>
            <w:tcW w:w="978" w:type="pct"/>
            <w:vAlign w:val="center"/>
          </w:tcPr>
          <w:p>
            <w:pPr>
              <w:jc w:val="left"/>
              <w:ind w:firstLine="0"/>
            </w:pPr>
          </w:p>
        </w:tc>
        <w:tc>
          <w:tcPr>
            <w:tcW w:w="978" w:type="pct"/>
            <w:vAlign w:val="center"/>
          </w:tcPr>
          <w:p>
            <w:pPr>
              <w:jc w:val="left"/>
              <w:ind w:firstLine="0"/>
            </w:pPr>
          </w:p>
        </w:tc>
        <w:tc>
          <w:tcPr>
            <w:tcW w:w="652" w:type="pct"/>
            <w:vAlign w:val="center"/>
          </w:tcPr>
          <w:p>
            <w:pPr>
              <w:jc w:val="left"/>
              <w:ind w:firstLine="0"/>
            </w:pPr>
          </w:p>
        </w:tc>
        <w:tc>
          <w:tcPr>
            <w:tcW w:w="1087" w:type="pct"/>
            <w:vAlign w:val="center"/>
          </w:tcPr>
          <w:p>
            <w:pPr>
              <w:jc w:val="left"/>
              <w:ind w:firstLine="0"/>
            </w:pPr>
          </w:p>
        </w:tc>
      </w:tr>
      <w:tr>
        <w:trPr>
          <w:trHeight w:val="397" w:hRule="atLeast"/>
        </w:trPr>
        <w:tc>
          <w:tcPr>
            <w:tcW w:w="326" w:type="pct"/>
            <w:vAlign w:val="center"/>
          </w:tcPr>
          <w:p>
            <w:pPr>
              <w:jc w:val="center"/>
              <w:ind w:firstLine="0"/>
            </w:pPr>
          </w:p>
        </w:tc>
        <w:tc>
          <w:tcPr>
            <w:tcW w:w="978" w:type="pct"/>
            <w:vAlign w:val="center"/>
          </w:tcPr>
          <w:p>
            <w:pPr>
              <w:jc w:val="left"/>
              <w:ind w:firstLine="0"/>
            </w:pPr>
          </w:p>
        </w:tc>
        <w:tc>
          <w:tcPr>
            <w:tcW w:w="978" w:type="pct"/>
            <w:vAlign w:val="center"/>
          </w:tcPr>
          <w:p>
            <w:pPr>
              <w:jc w:val="left"/>
              <w:ind w:firstLine="0"/>
            </w:pPr>
          </w:p>
        </w:tc>
        <w:tc>
          <w:tcPr>
            <w:tcW w:w="978" w:type="pct"/>
            <w:vAlign w:val="center"/>
          </w:tcPr>
          <w:p>
            <w:pPr>
              <w:jc w:val="left"/>
              <w:ind w:firstLine="0"/>
            </w:pPr>
          </w:p>
        </w:tc>
        <w:tc>
          <w:tcPr>
            <w:tcW w:w="652" w:type="pct"/>
            <w:vAlign w:val="center"/>
          </w:tcPr>
          <w:p>
            <w:pPr>
              <w:jc w:val="left"/>
              <w:ind w:firstLine="0"/>
            </w:pPr>
          </w:p>
        </w:tc>
        <w:tc>
          <w:tcPr>
            <w:tcW w:w="1087" w:type="pct"/>
            <w:vAlign w:val="center"/>
          </w:tcPr>
          <w:p>
            <w:pPr>
              <w:jc w:val="left"/>
              <w:ind w:firstLine="0"/>
            </w:pPr>
          </w:p>
        </w:tc>
      </w:tr>
      <w:tr>
        <w:trPr>
          <w:trHeight w:val="397" w:hRule="atLeast"/>
        </w:trPr>
        <w:tc>
          <w:tcPr>
            <w:tcW w:w="326" w:type="pct"/>
            <w:vAlign w:val="center"/>
          </w:tcPr>
          <w:p>
            <w:pPr>
              <w:jc w:val="center"/>
              <w:ind w:firstLine="0"/>
            </w:pPr>
          </w:p>
        </w:tc>
        <w:tc>
          <w:tcPr>
            <w:tcW w:w="978" w:type="pct"/>
            <w:vAlign w:val="center"/>
          </w:tcPr>
          <w:p>
            <w:pPr>
              <w:jc w:val="left"/>
              <w:ind w:firstLine="0"/>
            </w:pPr>
          </w:p>
        </w:tc>
        <w:tc>
          <w:tcPr>
            <w:tcW w:w="978" w:type="pct"/>
            <w:vAlign w:val="center"/>
          </w:tcPr>
          <w:p>
            <w:pPr>
              <w:jc w:val="left"/>
              <w:ind w:firstLine="0"/>
            </w:pPr>
          </w:p>
        </w:tc>
        <w:tc>
          <w:tcPr>
            <w:tcW w:w="978" w:type="pct"/>
            <w:vAlign w:val="center"/>
          </w:tcPr>
          <w:p>
            <w:pPr>
              <w:jc w:val="left"/>
              <w:ind w:firstLine="0"/>
            </w:pPr>
          </w:p>
        </w:tc>
        <w:tc>
          <w:tcPr>
            <w:tcW w:w="652" w:type="pct"/>
            <w:vAlign w:val="center"/>
          </w:tcPr>
          <w:p>
            <w:pPr>
              <w:jc w:val="left"/>
              <w:ind w:firstLine="0"/>
            </w:pPr>
          </w:p>
        </w:tc>
        <w:tc>
          <w:tcPr>
            <w:tcW w:w="1087" w:type="pct"/>
            <w:vAlign w:val="center"/>
          </w:tcPr>
          <w:p>
            <w:pPr>
              <w:jc w:val="left"/>
              <w:ind w:firstLine="0"/>
            </w:pPr>
          </w:p>
        </w:tc>
      </w:tr>
      <w:tr>
        <w:trPr>
          <w:trHeight w:val="397" w:hRule="atLeast"/>
        </w:trPr>
        <w:tc>
          <w:tcPr>
            <w:tcW w:w="326" w:type="pct"/>
            <w:vAlign w:val="center"/>
          </w:tcPr>
          <w:p>
            <w:pPr>
              <w:jc w:val="center"/>
              <w:ind w:firstLine="0"/>
            </w:pPr>
          </w:p>
        </w:tc>
        <w:tc>
          <w:tcPr>
            <w:tcW w:w="978" w:type="pct"/>
            <w:vAlign w:val="center"/>
          </w:tcPr>
          <w:p>
            <w:pPr>
              <w:jc w:val="left"/>
              <w:ind w:firstLine="0"/>
            </w:pPr>
          </w:p>
        </w:tc>
        <w:tc>
          <w:tcPr>
            <w:tcW w:w="978" w:type="pct"/>
            <w:vAlign w:val="center"/>
          </w:tcPr>
          <w:p>
            <w:pPr>
              <w:jc w:val="left"/>
              <w:ind w:firstLine="0"/>
            </w:pPr>
          </w:p>
        </w:tc>
        <w:tc>
          <w:tcPr>
            <w:tcW w:w="978" w:type="pct"/>
            <w:vAlign w:val="center"/>
          </w:tcPr>
          <w:p>
            <w:pPr>
              <w:jc w:val="left"/>
              <w:ind w:firstLine="0"/>
            </w:pPr>
          </w:p>
        </w:tc>
        <w:tc>
          <w:tcPr>
            <w:tcW w:w="652" w:type="pct"/>
            <w:vAlign w:val="center"/>
          </w:tcPr>
          <w:p>
            <w:pPr>
              <w:jc w:val="left"/>
              <w:ind w:firstLine="0"/>
            </w:pPr>
          </w:p>
        </w:tc>
        <w:tc>
          <w:tcPr>
            <w:tcW w:w="1087" w:type="pct"/>
            <w:vAlign w:val="center"/>
          </w:tcPr>
          <w:p>
            <w:pPr>
              <w:jc w:val="left"/>
              <w:ind w:firstLine="0"/>
            </w:pPr>
          </w:p>
        </w:tc>
      </w:tr>
      <w:tr>
        <w:trPr>
          <w:trHeight w:val="397" w:hRule="atLeast"/>
        </w:trPr>
        <w:tc>
          <w:tcPr>
            <w:tcW w:w="326" w:type="pct"/>
            <w:vAlign w:val="center"/>
          </w:tcPr>
          <w:p>
            <w:pPr>
              <w:jc w:val="center"/>
              <w:ind w:firstLine="0"/>
            </w:pPr>
          </w:p>
        </w:tc>
        <w:tc>
          <w:tcPr>
            <w:tcW w:w="978" w:type="pct"/>
            <w:vAlign w:val="center"/>
          </w:tcPr>
          <w:p>
            <w:pPr>
              <w:jc w:val="left"/>
              <w:ind w:firstLine="0"/>
            </w:pPr>
          </w:p>
        </w:tc>
        <w:tc>
          <w:tcPr>
            <w:tcW w:w="978" w:type="pct"/>
            <w:vAlign w:val="center"/>
          </w:tcPr>
          <w:p>
            <w:pPr>
              <w:jc w:val="left"/>
              <w:ind w:firstLine="0"/>
            </w:pPr>
          </w:p>
        </w:tc>
        <w:tc>
          <w:tcPr>
            <w:tcW w:w="978" w:type="pct"/>
            <w:vAlign w:val="center"/>
          </w:tcPr>
          <w:p>
            <w:pPr>
              <w:jc w:val="left"/>
              <w:ind w:firstLine="0"/>
            </w:pPr>
          </w:p>
        </w:tc>
        <w:tc>
          <w:tcPr>
            <w:tcW w:w="652" w:type="pct"/>
            <w:vAlign w:val="center"/>
          </w:tcPr>
          <w:p>
            <w:pPr>
              <w:jc w:val="left"/>
              <w:ind w:firstLine="0"/>
            </w:pPr>
          </w:p>
        </w:tc>
        <w:tc>
          <w:tcPr>
            <w:tcW w:w="1087" w:type="pct"/>
            <w:vAlign w:val="center"/>
          </w:tcPr>
          <w:p>
            <w:pPr>
              <w:jc w:val="left"/>
              <w:ind w:firstLine="0"/>
            </w:pPr>
          </w:p>
        </w:tc>
      </w:tr>
      <w:tr>
        <w:trPr>
          <w:trHeight w:val="397" w:hRule="atLeast"/>
        </w:trPr>
        <w:tc>
          <w:tcPr>
            <w:tcW w:w="326" w:type="pct"/>
            <w:vAlign w:val="center"/>
          </w:tcPr>
          <w:p>
            <w:pPr>
              <w:jc w:val="center"/>
              <w:ind w:firstLine="0"/>
            </w:pPr>
          </w:p>
        </w:tc>
        <w:tc>
          <w:tcPr>
            <w:tcW w:w="978" w:type="pct"/>
            <w:vAlign w:val="center"/>
          </w:tcPr>
          <w:p>
            <w:pPr>
              <w:jc w:val="left"/>
              <w:ind w:firstLine="0"/>
            </w:pPr>
          </w:p>
        </w:tc>
        <w:tc>
          <w:tcPr>
            <w:tcW w:w="978" w:type="pct"/>
            <w:vAlign w:val="center"/>
          </w:tcPr>
          <w:p>
            <w:pPr>
              <w:jc w:val="left"/>
              <w:ind w:firstLine="0"/>
            </w:pPr>
          </w:p>
        </w:tc>
        <w:tc>
          <w:tcPr>
            <w:tcW w:w="978" w:type="pct"/>
            <w:vAlign w:val="center"/>
          </w:tcPr>
          <w:p>
            <w:pPr>
              <w:jc w:val="left"/>
              <w:ind w:firstLine="0"/>
            </w:pPr>
          </w:p>
        </w:tc>
        <w:tc>
          <w:tcPr>
            <w:tcW w:w="652" w:type="pct"/>
            <w:vAlign w:val="center"/>
          </w:tcPr>
          <w:p>
            <w:pPr>
              <w:jc w:val="left"/>
              <w:ind w:firstLine="0"/>
            </w:pPr>
          </w:p>
        </w:tc>
        <w:tc>
          <w:tcPr>
            <w:tcW w:w="1087" w:type="pct"/>
            <w:vAlign w:val="center"/>
          </w:tcPr>
          <w:p>
            <w:pPr>
              <w:jc w:val="left"/>
              <w:ind w:firstLine="0"/>
            </w:pPr>
          </w:p>
        </w:tc>
      </w:tr>
    </w:tbl>
    <w:p/>
    <w:p>
      <w:pPr>
        <w:ind w:firstLine="425"/>
      </w:pPr>
      <w:r>
        <w:t xml:space="preserve">Итого начислено: 84600 рублей.</w:t>
      </w:r>
    </w:p>
    <w:p>
      <w:pPr>
        <w:ind w:firstLine="425"/>
      </w:pPr>
      <w:r>
        <w:t xml:space="preserve">Начисление продолжается по день фактического исполнения обязательства.</w:t>
      </w:r>
    </w:p>
    <w:p>
      <w:pPr>
        <w:pStyle w:val="ClauseHeading"/>
      </w:pPr>
      <w:r>
        <w:rPr>
          <w:b/>
        </w:rPr>
        <w:t xml:space="preserve">19. Реквизиты и подпись</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Истец</w:t>
            </w:r>
          </w:p>
          <w:p>
            <w:pPr>
              <w:jc w:val="left"/>
            </w:pPr>
            <w:r>
              <w:t xml:space="preserve">Иванов Иван Иванович</w:t>
              <w:br/>
              <w:t xml:space="preserve"/>
              <w:br/>
              <w:t xml:space="preserve">Дата рождения: 05.06.1985</w:t>
              <w:br/>
              <w:t xml:space="preserve"/>
              <w:br/>
              <w:t xml:space="preserve">Паспорт: 4510 123456, выдан ГУ МВД России по г. Москве 20.07.2015</w:t>
              <w:br/>
              <w:t xml:space="preserve"/>
              <w:br/>
              <w:t xml:space="preserve">Адрес места жительства: 127015, Москва, ул. Новодмитровская, д. 2, кв. 15</w:t>
            </w:r>
          </w:p>
          <w:p>
            <w:pPr>
              <w:jc w:val="left"/>
            </w:pPr>
            <w:r>
              <w:t xml:space="preserve">Истец ____________ / Иванов И. И.</w:t>
            </w:r>
          </w:p>
        </w:tc>
        <w:tc>
          <w:tcPr>
            <w:tcW w:w="4820" w:type="dxa"/>
          </w:tcPr>
          <w:p/>
        </w:tc>
      </w:tr>
    </w:tbl>
    <w:p/>
    <w:p>
      <w:pPr>
        <w:spacing w:before="360"/>
        <w:pBdr>
          <w:top w:val="single" w:sz="4" w:space="6" w:color="CCCCCC"/>
        </w:pBdr>
        <w:jc w:val="left"/>
      </w:pPr>
      <w:r>
        <w:rPr>
          <w:i/>
          <w:sz w:val="16"/>
          <w:color w:val="808080"/>
        </w:rPr>
        <w:t xml:space="preserve">Образец заполнения «Исковое заявление по договору поставки» с сайта primadoc.ru. Документ, заполненный под вашу ситуацию, собирается в конструкторе: https://primadoc.ru/doc/iskovoe-zayavlenie-po-dogovoru-postavki</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Исковое заявление по договору поставки — образец заполнения</dc:title>
  <dc:creator>Примадок</dc:creator>
  <dcterms:created xsi:type="dcterms:W3CDTF">2026-09-13T13:23:57Z</dcterms:created>
</cp:coreProperties>
</file>