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Энский районный суд города Энска.</w:t>
      </w:r>
    </w:p>
    <w:p>
      <w:pPr>
        <w:ind w:left="4820"/>
        <w:jc w:val="left"/>
      </w:pPr>
      <w:r>
        <w:t xml:space="preserve">Истец: Иванов Иван Иванович; адрес, телефон, адрес электронной почты и идентификатор приведены в реквизитах истца.</w:t>
      </w:r>
    </w:p>
    <w:p>
      <w:pPr>
        <w:ind w:left="4820"/>
        <w:jc w:val="left"/>
      </w:pPr>
      <w:r>
        <w:t xml:space="preserve">Ответчик: Смирнов Игорь Валентинович, 17.08.1984, г. Энск, адрес места жительства: 123456, г. Энск, ул. Покровская, д. 17, кв. 5, идентификатор: СНИЛС 123-456-789 00.</w:t>
      </w:r>
    </w:p>
    <w:p>
      <w:pPr>
        <w:ind w:left="4820"/>
        <w:jc w:val="left"/>
      </w:pPr>
      <w:r>
        <w:t xml:space="preserve">Третьи лица, не заявляющие самостоятельных требований относительно предмета спора: ПАО «Энский банк» — залогодержатель квартиры, орган опеки и попечительства.</w:t>
      </w:r>
    </w:p>
    <w:p>
      <w:pPr>
        <w:ind w:left="4820"/>
        <w:jc w:val="left"/>
      </w:pPr>
      <w:r>
        <w:t xml:space="preserve">Цена иска: 3450000 рублей. Государственная пошлина: 25450 рублей — Уплачена, документ об уплате прилагается.</w:t>
      </w:r>
    </w:p>
    <w:p>
      <w:pPr>
        <w:ind w:left="4820"/>
        <w:jc w:val="left"/>
      </w:pPr>
      <w:r>
        <w:t xml:space="preserve">Заявление подаётся с соблюдением требований к его форме, содержанию и перечню прилагаемых документов (ст. 131 ГПК).</w:t>
      </w:r>
    </w:p>
    <w:p>
      <w:pPr>
        <w:pStyle w:val="DocTitle"/>
      </w:pPr>
      <w:r>
        <w:t xml:space="preserve">ИСКОВОЕ ЗАЯВЛЕНИЕ о разделе имущества супругов</w:t>
      </w:r>
    </w:p>
    <w:p>
      <w:pPr>
        <w:jc w:val="center"/>
        <w:spacing w:after="160"/>
      </w:pPr>
      <w:r>
        <w:t xml:space="preserve">{{field.claim_subject}}</w:t>
      </w:r>
    </w:p>
    <w:p>
      <w:pPr>
        <w:tabs>
          <w:tab w:val="right" w:pos="9639"/>
        </w:tabs>
        <w:spacing w:after="240"/>
      </w:pPr>
      <w:r>
        <w:t xml:space="preserve">г. Москва</w:t>
      </w:r>
      <w:r>
        <w:tab/>
        <w:t xml:space="preserve">«12» марта 2026 г.</w:t>
      </w:r>
    </w:p>
    <w:p>
      <w:pPr>
        <w:pStyle w:val="ClauseHeading"/>
      </w:pPr>
      <w:r>
        <w:rPr>
          <w:b/>
        </w:rPr>
        <w:t xml:space="preserve">1. Обстоятельства дела: брак и период накопления имущества</w:t>
      </w:r>
    </w:p>
    <w:p>
      <w:pPr>
        <w:ind w:firstLine="425"/>
      </w:pPr>
      <w:r>
        <w:t xml:space="preserve">1.1. 12.06.2014 между Истцом и Ответчиком был зарегистрирован брак, что подтверждается свидетельством: серия I-МЮ № 123456, выдано Энским отделом ЗАГС 12.06.2014.</w:t>
      </w:r>
    </w:p>
    <w:p>
      <w:pPr>
        <w:ind w:firstLine="425"/>
      </w:pPr>
      <w:r>
        <w:t xml:space="preserve">1.2. Состояние брака на дату подачи заявления: Брак не расторгнут.</w:t>
      </w:r>
    </w:p>
    <w:p>
      <w:pPr>
        <w:ind w:firstLine="425"/>
      </w:pPr>
      <w:r>
        <w:t xml:space="preserve">1.3. Дата прекращения брака — 03.03.2025.</w:t>
      </w:r>
    </w:p>
    <w:p>
      <w:pPr>
        <w:ind w:firstLine="425"/>
      </w:pPr>
      <w:r>
        <w:t xml:space="preserve">1.4. Подтверждающий документ — свидетельство о расторжении брака серия II-МЮ № 654321 от 03.03.2025.</w:t>
      </w:r>
    </w:p>
    <w:p>
      <w:pPr>
        <w:ind w:firstLine="425"/>
      </w:pPr>
      <w:r>
        <w:t xml:space="preserve">1.5. При расторжении брака в органах записи актов гражданского состояния брак прекращается со дня государственной регистрации расторжения, а при расторжении в суде — со дня вступления решения суда в законную силу (ст. 25 СК).</w:t>
      </w:r>
    </w:p>
    <w:p>
      <w:pPr>
        <w:ind w:firstLine="425"/>
      </w:pPr>
      <w:r>
        <w:t xml:space="preserve">1.6. Фактические семейные отношения и ведение общего хозяйства прекращены 15.09.2024.</w:t>
      </w:r>
    </w:p>
    <w:p>
      <w:pPr>
        <w:ind w:firstLine="425"/>
      </w:pPr>
      <w:r>
        <w:t xml:space="preserve">1.7. С этого момента стороны проживают раздельно и общий бюджет не ведут.</w:t>
      </w:r>
    </w:p>
    <w:p>
      <w:pPr>
        <w:ind w:firstLine="425"/>
      </w:pPr>
      <w:r>
        <w:t xml:space="preserve">1.8. Несовершеннолетние дети сторон: дочь Смирнова Мария Игоревна, 2016 года рождения, проживает с истцом.</w:t>
      </w:r>
    </w:p>
    <w:p>
      <w:pPr>
        <w:ind w:firstLine="425"/>
      </w:pPr>
      <w:r>
        <w:t xml:space="preserve">1.9. Имуществом, нажитым супругами во время брака, является их совместная собственность независимо от того, на имя кого из супругов оно приобретено и кем из супругов внесены денежные средства (ст. 34 СК).</w:t>
      </w:r>
    </w:p>
    <w:p>
      <w:pPr>
        <w:ind w:firstLine="425"/>
      </w:pPr>
      <w:r>
        <w:t xml:space="preserve">1.10. Право на общее имущество принадлежит также супругу, который в период брака вёл домашнее хозяйство, ухаживал за детьми или по другим уважительным причинам не имел самостоятельного дохода (ст. 34 СК).</w:t>
      </w:r>
    </w:p>
    <w:p>
      <w:pPr>
        <w:pStyle w:val="ClauseHeading"/>
      </w:pPr>
      <w:r>
        <w:rPr>
          <w:b/>
        </w:rPr>
        <w:t xml:space="preserve">2. Состав и стоимость имущества</w:t>
      </w:r>
    </w:p>
    <w:p>
      <w:pPr>
        <w:ind w:firstLine="425"/>
      </w:pPr>
      <w:r>
        <w:t xml:space="preserve">2.1. В период брака сторонами нажито следующее имущество: квартира по адресу г. Энск, ул. Мира, д. 4, кв. 12; автомобиль Kia Rio 2021 г. в., госномер А123ВС777; вклад в банке.</w:t>
      </w:r>
    </w:p>
    <w:p>
      <w:pPr>
        <w:ind w:firstLine="425"/>
      </w:pPr>
      <w:r>
        <w:t xml:space="preserve">2.2. Полная опись с датами приобретения, документами и стоимостью приведена в Приложение № 1.</w:t>
      </w:r>
    </w:p>
    <w:p>
      <w:pPr>
        <w:ind w:firstLine="425"/>
      </w:pPr>
      <w:r>
        <w:t xml:space="preserve">2.3. Общая стоимость имущества составляет 6900000 рублей и подтверждается: отчёт об оценке ООО «Энск-Оценка» № 44 от 20.04.2026, выписка из ЕГРН о кадастровой стоимости.</w:t>
      </w:r>
    </w:p>
    <w:p>
      <w:pPr>
        <w:ind w:firstLine="425"/>
      </w:pPr>
      <w:r>
        <w:t xml:space="preserve">2.4. Стоимость имущества определяется на время рассмотрения дела; при споре о стоимости Истец ходатайствует о назначении судебной оценочной экспертизы.</w:t>
      </w:r>
    </w:p>
    <w:p>
      <w:pPr>
        <w:ind w:firstLine="425"/>
      </w:pPr>
      <w:r>
        <w:t xml:space="preserve">2.5. Истец просит передать ему: квартиру и предметы обстановки; автомобиль передать ответчику с выплатой компенсации истцу.</w:t>
      </w:r>
    </w:p>
    <w:p>
      <w:pPr>
        <w:ind w:firstLine="425"/>
      </w:pPr>
      <w:r>
        <w:t xml:space="preserve">2.6. Ответчику Истец просит передать: автомобиль Kia Rio, гараж, инструменты.</w:t>
      </w:r>
    </w:p>
    <w:p>
      <w:pPr>
        <w:ind w:firstLine="425"/>
      </w:pPr>
      <w:r>
        <w:t xml:space="preserve">2.7. Цена иска по требованию о разделе определяется стоимостью того имущества, на которое претендует Истец, и составляет 3450000 рублей (ст. 91 ГПК).</w:t>
      </w:r>
    </w:p>
    <w:p>
      <w:pPr>
        <w:pStyle w:val="ClauseHeading"/>
      </w:pPr>
      <w:r>
        <w:rPr>
          <w:b/>
        </w:rPr>
        <w:t xml:space="preserve">3. Основание требования: раздел имущества в период брака</w:t>
      </w:r>
    </w:p>
    <w:p>
      <w:pPr>
        <w:ind w:firstLine="425"/>
      </w:pPr>
      <w:r>
        <w:t xml:space="preserve">3.1. Раздел общего имущества супругов может быть произведён как в период брака, так и после его расторжения по требованию любого из супругов (ст. 38 СК).</w:t>
      </w:r>
    </w:p>
    <w:p>
      <w:pPr>
        <w:ind w:firstLine="425"/>
      </w:pPr>
      <w:r>
        <w:t xml:space="preserve">3.2. Основанием раздела в период брака является также заявление кредитора о разделе общего имущества супругов для обращения взыскания на долю одного из них.</w:t>
      </w:r>
    </w:p>
    <w:p>
      <w:pPr>
        <w:ind w:firstLine="425"/>
      </w:pPr>
      <w:r>
        <w:t xml:space="preserve">3.3. При разделе общего имущества доли супругов признаются равными, если иное не предусмотрено договором между ними (ст. 39 СК).</w:t>
      </w:r>
    </w:p>
    <w:p>
      <w:pPr>
        <w:ind w:firstLine="425"/>
      </w:pPr>
      <w:r>
        <w:t xml:space="preserve">3.4. Имущество каждого из супругов, не подвергшееся разделу, а также имущество, нажитое ими в период брака в дальнейшем, составляет их совместную собственность.</w:t>
      </w:r>
    </w:p>
    <w:p>
      <w:pPr>
        <w:ind w:firstLine="425"/>
      </w:pPr>
      <w:r>
        <w:t xml:space="preserve">3.5. В случае раздела общего имущества супругов в период брака та часть имущества, которая не была разделена, остаётся в совместной собственности (ст. 38 СК).</w:t>
      </w:r>
    </w:p>
    <w:p>
      <w:pPr>
        <w:ind w:firstLine="425"/>
      </w:pPr>
      <w:r>
        <w:t xml:space="preserve">3.6. Совместная собственность супругов возникает в силу закона; иной режим может быть установлен брачным договором (ст. 256 ГК).</w:t>
      </w:r>
    </w:p>
    <w:p>
      <w:pPr>
        <w:pStyle w:val="ClauseHeading"/>
      </w:pPr>
      <w:r>
        <w:rPr>
          <w:b/>
        </w:rPr>
        <w:t xml:space="preserve">4. Основание требования: раздел имущества после расторжения брака</w:t>
      </w:r>
    </w:p>
    <w:p>
      <w:pPr>
        <w:ind w:firstLine="425"/>
      </w:pPr>
      <w:r>
        <w:t xml:space="preserve">4.1. Брак между сторонами прекращён 03.03.2025; соглашение о разделе имущества супругами не заключалось, спор о составе и стоимости имущества не урегулирован.</w:t>
      </w:r>
    </w:p>
    <w:p>
      <w:pPr>
        <w:ind w:firstLine="425"/>
      </w:pPr>
      <w:r>
        <w:t xml:space="preserve">4.2. В случае спора раздел общего имущества супругов, а также определение долей в этом имуществе производятся в судебном порядке (ст. 38 СК).</w:t>
      </w:r>
    </w:p>
    <w:p>
      <w:pPr>
        <w:ind w:firstLine="425"/>
      </w:pPr>
      <w:r>
        <w:t xml:space="preserve">4.3. При разделе суд по требованию супругов определяет, какое имущество подлежит передаче каждому из них; если одному супругу передаётся имущество, стоимость которого превышает причитающуюся ему долю, другому супругу может быть присуждена соответствующая денежная или иная компенсация (ст. 38 СК).</w:t>
      </w:r>
    </w:p>
    <w:p>
      <w:pPr>
        <w:ind w:firstLine="425"/>
      </w:pPr>
      <w:r>
        <w:t xml:space="preserve">4.4. Доли супругов в общем имуществе признаются равными, если иное не предусмотрено договором (ст. 39 СК).</w:t>
      </w:r>
    </w:p>
    <w:p>
      <w:pPr>
        <w:ind w:firstLine="425"/>
      </w:pPr>
      <w:r>
        <w:t xml:space="preserve">4.5. К требованиям супругов о разделе общего имущества, брак которых расторгнут, применяется трёхлетний срок исковой давности (ст. 9 СК).</w:t>
      </w:r>
    </w:p>
    <w:p>
      <w:pPr>
        <w:ind w:firstLine="425"/>
      </w:pPr>
      <w:r>
        <w:t xml:space="preserve">4.6. Неделимая вещь при разделе передаётся одному из участников с выплатой компенсации остальным (ст. 252 ГК).</w:t>
      </w:r>
    </w:p>
    <w:p>
      <w:pPr>
        <w:pStyle w:val="ClauseHeading"/>
      </w:pPr>
      <w:r>
        <w:rPr>
          <w:b/>
        </w:rPr>
        <w:t xml:space="preserve">5. Основание требования: отступление от равенства долей</w:t>
      </w:r>
    </w:p>
    <w:p>
      <w:pPr>
        <w:ind w:firstLine="425"/>
      </w:pPr>
      <w:r>
        <w:t xml:space="preserve">5.1. Суд вправе отступить от начала равенства долей супругов в их общем имуществе исходя из интересов несовершеннолетних детей или исходя из заслуживающего внимания интереса одного из супругов (ст. 39 СК).</w:t>
      </w:r>
    </w:p>
    <w:p>
      <w:pPr>
        <w:ind w:firstLine="425"/>
      </w:pPr>
      <w:r>
        <w:t xml:space="preserve">5.2. Основанием для отступления служит, в частности, случай, когда другой супруг не получал доходов по неуважительным причинам или расходовал общее имущество супругов в ущерб интересам семьи (ст. 39 СК).</w:t>
      </w:r>
    </w:p>
    <w:p>
      <w:pPr>
        <w:ind w:firstLine="425"/>
      </w:pPr>
      <w:r>
        <w:t xml:space="preserve">5.3. Обстоятельства, обосновывающие отступление от равенства долей: с истцом остаются двое несовершеннолетних детей; ответчик без уважительных причин не работал и расходовал общие средства в ущерб интересам семьи.</w:t>
      </w:r>
    </w:p>
    <w:p>
      <w:pPr>
        <w:ind w:firstLine="425"/>
      </w:pPr>
      <w:r>
        <w:t xml:space="preserve">5.4. С Истцом проживают несовершеннолетние дети: дочь Смирнова Мария Игоревна, 2016 года рождения, проживает с истцом; сохранение за ними привычных условий проживания требует передачи Истцу большей доли.</w:t>
      </w:r>
    </w:p>
    <w:p>
      <w:pPr>
        <w:ind w:firstLine="425"/>
      </w:pPr>
      <w:r>
        <w:t xml:space="preserve">5.5. Истец просит определить его долю в общем имуществе в размере 50 и произвести раздел исходя из этой доли.</w:t>
      </w:r>
    </w:p>
    <w:p>
      <w:pPr>
        <w:ind w:firstLine="425"/>
      </w:pPr>
      <w:r>
        <w:t xml:space="preserve">5.6. Общие долги супругов при разделе распределяются пропорционально присуждённым долям (ст. 39 СК).</w:t>
      </w:r>
    </w:p>
    <w:p>
      <w:pPr>
        <w:pStyle w:val="ClauseHeading"/>
      </w:pPr>
      <w:r>
        <w:rPr>
          <w:b/>
        </w:rPr>
        <w:t xml:space="preserve">6. Основание требования: личное имущество супруга</w:t>
      </w:r>
    </w:p>
    <w:p>
      <w:pPr>
        <w:ind w:firstLine="425"/>
      </w:pPr>
      <w:r>
        <w:t xml:space="preserve">6.1. Имущество, принадлежавшее каждому из супругов до вступления в брак, а также полученное одним из супругов во время брака в дар, в порядке наследования или по иным безвозмездным сделкам, является его собственностью (ст. 36 СК).</w:t>
      </w:r>
    </w:p>
    <w:p>
      <w:pPr>
        <w:ind w:firstLine="425"/>
      </w:pPr>
      <w:r>
        <w:t xml:space="preserve">6.2. Вещи индивидуального пользования, за исключением драгоценностей и других предметов роскоши, признаются собственностью того супруга, который ими пользовался, даже если они приобретены за счёт общих средств (ст. 36 СК).</w:t>
      </w:r>
    </w:p>
    <w:p>
      <w:pPr>
        <w:ind w:firstLine="425"/>
      </w:pPr>
      <w:r>
        <w:t xml:space="preserve">6.3. Имущество, которое Истец просит исключить из раздела: квартира, полученная истцом в дар от матери по договору от 04.05.2018; основание — Приобретено до заключения брака.</w:t>
      </w:r>
    </w:p>
    <w:p>
      <w:pPr>
        <w:ind w:firstLine="425"/>
      </w:pPr>
      <w:r>
        <w:t xml:space="preserve">6.4. Имущество каждого из супругов может быть признано их совместной собственностью, если будет установлено, что в период брака за счёт общего имущества или труда одного из супругов были произведены вложения, значительно увеличивающие стоимость этого имущества (ст. 37 СК).</w:t>
      </w:r>
    </w:p>
    <w:p>
      <w:pPr>
        <w:ind w:firstLine="425"/>
      </w:pPr>
      <w:r>
        <w:t xml:space="preserve">6.5. Произведённые вложения: за счёт общих средств проведена реконструкция дома на 2 400 000 рублей, стоимость выросла с 3 до 7 млн рублей.</w:t>
      </w:r>
    </w:p>
    <w:p>
      <w:pPr>
        <w:ind w:firstLine="425"/>
      </w:pPr>
      <w:r>
        <w:t xml:space="preserve">6.6. Имущество, нажитое каждым из супругов в период их раздельного проживания при прекращении семейных отношений, суд может признать собственностью каждого из них (ст. 38 СК).</w:t>
      </w:r>
    </w:p>
    <w:p>
      <w:pPr>
        <w:pStyle w:val="ClauseHeading"/>
      </w:pPr>
      <w:r>
        <w:rPr>
          <w:b/>
        </w:rPr>
        <w:t xml:space="preserve">7. Основание требования: раздел общих долгов и ипотеки</w:t>
      </w:r>
    </w:p>
    <w:p>
      <w:pPr>
        <w:ind w:firstLine="425"/>
      </w:pPr>
      <w:r>
        <w:t xml:space="preserve">7.1. Общие долги супругов при разделе общего имущества распределяются между супругами пропорционально присуждённым им долям (ст. 39 СК).</w:t>
      </w:r>
    </w:p>
    <w:p>
      <w:pPr>
        <w:ind w:firstLine="425"/>
      </w:pPr>
      <w:r>
        <w:t xml:space="preserve">7.2. Общими признаются обязательства, возникшие по инициативе обоих супругов в интересах семьи, либо обязательства одного из супругов, по которому всё полученное было использовано на нужды семьи (ст. 45 СК).</w:t>
      </w:r>
    </w:p>
    <w:p>
      <w:pPr>
        <w:ind w:firstLine="425"/>
      </w:pPr>
      <w:r>
        <w:t xml:space="preserve">7.3. Перечень общих обязательств: ипотечный кредит ПАО «Энский банк» от 11.07.2019, остаток 2 100 000 рублей; потребительский кредит на ремонт квартиры.</w:t>
      </w:r>
    </w:p>
    <w:p>
      <w:pPr>
        <w:ind w:firstLine="425"/>
      </w:pPr>
      <w:r>
        <w:t xml:space="preserve">7.4. Общая сумма — 2450000 рублей.</w:t>
      </w:r>
    </w:p>
    <w:p>
      <w:pPr>
        <w:ind w:firstLine="425"/>
      </w:pPr>
      <w:r>
        <w:t xml:space="preserve">7.5. Подробный перечень приведён в Приложение № 2.</w:t>
      </w:r>
    </w:p>
    <w:p>
      <w:pPr>
        <w:ind w:firstLine="425"/>
      </w:pPr>
      <w:r>
        <w:t xml:space="preserve">7.6. Заёмные средства израсходованы на нужды семьи, что подтверждается следующим: на покупку квартиры и ремонт, что подтверждается платёжными документами и договором подряда.</w:t>
      </w:r>
    </w:p>
    <w:p>
      <w:pPr>
        <w:ind w:firstLine="425"/>
      </w:pPr>
      <w:r>
        <w:t xml:space="preserve">7.7. Сведения об ипотеке: залогодержатель ПАО «Энский банк», закладная от 11.07.2019, остаток долга 2 100 000 рублей.</w:t>
      </w:r>
    </w:p>
    <w:p>
      <w:pPr>
        <w:ind w:firstLine="425"/>
      </w:pPr>
      <w:r>
        <w:t xml:space="preserve">7.8. Залогодержатель привлекается к участию в деле, поскольку перевод долга на другое лицо допускается лишь с согласия кредитора (ст. 391 ГК).</w:t>
      </w:r>
    </w:p>
    <w:p>
      <w:pPr>
        <w:ind w:firstLine="425"/>
      </w:pPr>
      <w:r>
        <w:t xml:space="preserve">7.9. После прекращения семейных отношений Истец единолично уплатил по общим обязательствам 384000 рублей и вправе требовать от Ответчика возмещения приходящейся на него части исполненного (ст. 325 ГК).</w:t>
      </w:r>
    </w:p>
    <w:p>
      <w:pPr>
        <w:ind w:firstLine="425"/>
      </w:pPr>
      <w:r>
        <w:t xml:space="preserve">7.10. При солидарной обязанности кредитор вправе требовать исполнения как от всех должников совместно, так и от любого из них в отдельности (ст. 322 ГК).</w:t>
      </w:r>
    </w:p>
    <w:p>
      <w:pPr>
        <w:pStyle w:val="ClauseHeading"/>
      </w:pPr>
      <w:r>
        <w:rPr>
          <w:b/>
        </w:rPr>
        <w:t xml:space="preserve">8. Основание требования: доля в бизнесе и ценные бумаги</w:t>
      </w:r>
    </w:p>
    <w:p>
      <w:pPr>
        <w:ind w:firstLine="425"/>
      </w:pPr>
      <w:r>
        <w:t xml:space="preserve">8.1. Доля в уставном капитале общества с ограниченной ответственностью, приобретённая в период брака за счёт общих средств, входит в состав общего имущества супругов (ст. 34 СК).</w:t>
      </w:r>
    </w:p>
    <w:p>
      <w:pPr>
        <w:ind w:firstLine="425"/>
      </w:pPr>
      <w:r>
        <w:t xml:space="preserve">8.2. Подлежащий разделу актив: доля 50 % в уставном капитале ООО «Энск-Строй», ОГРН 1157746000001, номинальная стоимость 5 000 рублей.</w:t>
      </w:r>
    </w:p>
    <w:p>
      <w:pPr>
        <w:ind w:firstLine="425"/>
      </w:pPr>
      <w:r>
        <w:t xml:space="preserve">8.3. Переход доли к супругу, не являющемуся участником общества, может быть ограничен уставом, который вправе требовать согласия остальных участников; такое правило установлено статьёй 21 Федерального закона «Об обществах с ограниченной ответственностью».</w:t>
      </w:r>
    </w:p>
    <w:p>
      <w:pPr>
        <w:ind w:firstLine="425"/>
      </w:pPr>
      <w:r>
        <w:t xml:space="preserve">8.4. Если согласие участников не получено, супруг вправе требовать выплаты действительной стоимости соответствующей части доли, определяемой по данным бухгалтерской отчётности за последний отчётный период.</w:t>
      </w:r>
    </w:p>
    <w:p>
      <w:pPr>
        <w:ind w:firstLine="425"/>
      </w:pPr>
      <w:r>
        <w:t xml:space="preserve">8.5. Акции, паи, вклады и доли в капитале коммерческих организаций, приобретённые в период брака, признаются общим имуществом независимо от того, на имя кого из супругов они оформлены (ст. 256 ГК).</w:t>
      </w:r>
    </w:p>
    <w:p>
      <w:pPr>
        <w:ind w:firstLine="425"/>
      </w:pPr>
      <w:r>
        <w:t xml:space="preserve">8.6. Имущество индивидуального предпринимателя, приобретённое в браке, также подлежит разделу на общих основаниях; общество и регистрирующий орган привлекаются к участию в деле в качестве третьих лиц.</w:t>
      </w:r>
    </w:p>
    <w:p>
      <w:pPr>
        <w:ind w:firstLine="425"/>
      </w:pPr>
      <w:r>
        <w:t xml:space="preserve">8.7. При невозможности раздела в натуре суд определяет размер компенсации: 620000 рублей (ст. 38 СК).</w:t>
      </w:r>
    </w:p>
    <w:p>
      <w:pPr>
        <w:pStyle w:val="ClauseHeading"/>
      </w:pPr>
      <w:r>
        <w:rPr>
          <w:b/>
        </w:rPr>
        <w:t xml:space="preserve">9. Основание требования: оспаривание сделки супруга</w:t>
      </w:r>
    </w:p>
    <w:p>
      <w:pPr>
        <w:ind w:firstLine="425"/>
      </w:pPr>
      <w:r>
        <w:t xml:space="preserve">9.1. При совершении одним из супругов сделки по распоряжению общим имуществом предполагается, что он действует с согласия другого супруга (ст. 35 СК).</w:t>
      </w:r>
    </w:p>
    <w:p>
      <w:pPr>
        <w:ind w:firstLine="425"/>
      </w:pPr>
      <w:r>
        <w:t xml:space="preserve">9.2. Сделка, совершённая одним из супругов по распоряжению общим имуществом, может быть признана судом недействительной по мотивам отсутствия согласия другого супруга только по его требованию и только в случаях, если доказано, что другая сторона в сделке знала или заведомо должна была знать о несогласии супруга на совершение данной сделки (ст. 35 СК).</w:t>
      </w:r>
    </w:p>
    <w:p>
      <w:pPr>
        <w:ind w:firstLine="425"/>
      </w:pPr>
      <w:r>
        <w:t xml:space="preserve">9.3. Для совершения одним из супругов сделки по распоряжению имуществом, права на которое подлежат государственной регистрации, сделки, для которой законом установлена обязательная нотариальная форма, или сделки, подлежащей обязательной регистрации, необходимо получить нотариально удостоверенное согласие другого супруга (ст. 35 СК).</w:t>
      </w:r>
    </w:p>
    <w:p>
      <w:pPr>
        <w:ind w:firstLine="425"/>
      </w:pPr>
      <w:r>
        <w:t xml:space="preserve">9.4. Оспариваемая сделка: договор купли-продажи автомобиля от 12.01.2025, заключённый ответчиком с братом по цене вдвое ниже рыночной, дата — 12.01.2025, приобретатель — Смирнов Пётр Валентинович, брат ответчика.</w:t>
      </w:r>
    </w:p>
    <w:p>
      <w:pPr>
        <w:ind w:firstLine="425"/>
      </w:pPr>
      <w:r>
        <w:t xml:space="preserve">9.5. Основание недействительности: нотариально удостоверенное согласие истца не получено; приобретатель знал об отсутствии согласия.</w:t>
      </w:r>
    </w:p>
    <w:p>
      <w:pPr>
        <w:ind w:firstLine="425"/>
      </w:pPr>
      <w:r>
        <w:t xml:space="preserve">9.6. Недействительная сделка не влечёт юридических последствий, за исключением тех, которые связаны с её недействительностью, и недействительна с момента совершения; каждая из сторон обязана возвратить другой всё полученное по сделке (ст. 167 ГК).</w:t>
      </w:r>
    </w:p>
    <w:p>
      <w:pPr>
        <w:ind w:firstLine="425"/>
      </w:pPr>
      <w:r>
        <w:t xml:space="preserve">9.7. Распоряжение общим имуществом, находящимся в совместной собственности, осуществляется по согласию всех участников независимо от того, кем из них совершается сделка (ст. 253 ГК).</w:t>
      </w:r>
    </w:p>
    <w:p>
      <w:pPr>
        <w:pStyle w:val="ClauseHeading"/>
      </w:pPr>
      <w:r>
        <w:rPr>
          <w:b/>
        </w:rPr>
        <w:t xml:space="preserve">10. Основание требования: недействительность брачного договора</w:t>
      </w:r>
    </w:p>
    <w:p>
      <w:pPr>
        <w:ind w:firstLine="425"/>
      </w:pPr>
      <w:r>
        <w:t xml:space="preserve">10.1. Брачным договором признаётся соглашение лиц, вступающих в брак, или соглашение супругов, определяющее их имущественные права и обязанности в браке и в случае его расторжения (ст. 40 СК).</w:t>
      </w:r>
    </w:p>
    <w:p>
      <w:pPr>
        <w:ind w:firstLine="425"/>
      </w:pPr>
      <w:r>
        <w:t xml:space="preserve">10.2. Спорный договор: брачный договор от 20.02.2020, удостоверен нотариусом Судеевой Е. П., реестровый № 77/44-н/77-2020-1-234.</w:t>
      </w:r>
    </w:p>
    <w:p>
      <w:pPr>
        <w:ind w:firstLine="425"/>
      </w:pPr>
      <w:r>
        <w:t xml:space="preserve">10.3. Брачный договор может быть признан судом недействительным полностью или частично по основаниям, предусмотренным Гражданским кодексом для недействительности сделок (ст. 44 СК).</w:t>
      </w:r>
    </w:p>
    <w:p>
      <w:pPr>
        <w:ind w:firstLine="425"/>
      </w:pPr>
      <w:r>
        <w:t xml:space="preserve">10.4. Суд может признать брачный договор недействительным полностью или частично по требованию одного из супругов, если условия договора ставят этого супруга в крайне неблагоприятное положение (ст. 44 СК).</w:t>
      </w:r>
    </w:p>
    <w:p>
      <w:pPr>
        <w:ind w:firstLine="425"/>
      </w:pPr>
      <w:r>
        <w:t xml:space="preserve">10.5. Брачный договор не может ограничивать правоспособность или дееспособность супругов, регулировать личные неимущественные отношения, а также содержать другие условия, которые ставят одного из супругов в крайне неблагоприятное положение или противоречат основным началам семейного законодательства (ст. 42 СК).</w:t>
      </w:r>
    </w:p>
    <w:p>
      <w:pPr>
        <w:ind w:firstLine="425"/>
      </w:pPr>
      <w:r>
        <w:t xml:space="preserve">10.6. Основания недействительности в настоящем деле: договор ставит истца в крайне неблагоприятное положение: всё имущество передаётся ответчику, истец остаётся без жилья.</w:t>
      </w:r>
    </w:p>
    <w:p>
      <w:pPr>
        <w:ind w:firstLine="425"/>
      </w:pPr>
      <w:r>
        <w:t xml:space="preserve">10.7. При недействительности сделки каждая из сторон обязана возвратить другой всё полученное по сделке, а имущество подлежит разделу по правилам законного режима (ст. 167 ГК).</w:t>
      </w:r>
    </w:p>
    <w:p>
      <w:pPr>
        <w:pStyle w:val="ClauseHeading"/>
      </w:pPr>
      <w:r>
        <w:rPr>
          <w:b/>
        </w:rPr>
        <w:t xml:space="preserve">11. Основание требования: признание брака недействительным</w:t>
      </w:r>
    </w:p>
    <w:p>
      <w:pPr>
        <w:ind w:firstLine="425"/>
      </w:pPr>
      <w:r>
        <w:t xml:space="preserve">11.1. Основание недействительности брака: Брак зарегистрирован без намерения создать семью (фиктивный брак).</w:t>
      </w:r>
    </w:p>
    <w:p>
      <w:pPr>
        <w:ind w:firstLine="425"/>
      </w:pPr>
      <w:r>
        <w:t xml:space="preserve">11.2. Брак признаётся недействительным при нарушении условий заключения брака, а также в случае заключения фиктивного брака — если супруги или один из них зарегистрировали брак без намерения создать семью (ст. 27 СК).</w:t>
      </w:r>
    </w:p>
    <w:p>
      <w:pPr>
        <w:ind w:firstLine="425"/>
      </w:pPr>
      <w:r>
        <w:t xml:space="preserve">11.3. Для заключения брака необходимы взаимное добровольное согласие мужчины и женщины и достижение ими брачного возраста (ст. 12 СК).</w:t>
      </w:r>
    </w:p>
    <w:p>
      <w:pPr>
        <w:ind w:firstLine="425"/>
      </w:pPr>
      <w:r>
        <w:t xml:space="preserve">11.4. Не допускается заключение брака между лицами, из которых хотя бы одно уже состоит в другом зарегистрированном браке, между близкими родственниками, между усыновителями и усыновлёнными, а также с лицом, признанным судом недееспособным (ст. 14 СК).</w:t>
      </w:r>
    </w:p>
    <w:p>
      <w:pPr>
        <w:ind w:firstLine="425"/>
      </w:pPr>
      <w:r>
        <w:t xml:space="preserve">11.5. Брак признаётся недействительным со дня его заключения; требовать признания брака недействительным вправе лица, круг которых определён законом, в том числе супруг, права которого нарушены заключением брака (ст. 28 СК).</w:t>
      </w:r>
    </w:p>
    <w:p>
      <w:pPr>
        <w:ind w:firstLine="425"/>
      </w:pPr>
      <w:r>
        <w:t xml:space="preserve">11.6. Суд может признать брак действительным, если к моменту рассмотрения дела отпали обстоятельства, препятствовавшие его заключению (ст. 29 СК).</w:t>
      </w:r>
    </w:p>
    <w:p>
      <w:pPr>
        <w:ind w:firstLine="425"/>
      </w:pPr>
      <w:r>
        <w:t xml:space="preserve">11.7. К имуществу, приобретённому совместно лицами, брак которых признан недействительным, применяются положения об общей долевой собственности (ст. 30 СК), а доли участников признаются равными, если иное не установлено (ст. 244 ГК).</w:t>
      </w:r>
    </w:p>
    <w:p>
      <w:pPr>
        <w:ind w:firstLine="425"/>
      </w:pPr>
      <w:r>
        <w:t xml:space="preserve">11.8. Истец является добросовестным супругом и вправе требовать возмещения причинённого ему материального ущерба в размере 180000 рублей и компенсации морального вреда в размере 100000 рублей, а также сохранения права на содержание и раздела имущества по правилам о совместной собственности (ст. 30 СК).</w:t>
      </w:r>
    </w:p>
    <w:p>
      <w:pPr>
        <w:pStyle w:val="ClauseHeading"/>
      </w:pPr>
      <w:r>
        <w:rPr>
          <w:b/>
        </w:rPr>
        <w:t xml:space="preserve">12. Основание требования: компенсация за долю в неделимой вещи</w:t>
      </w:r>
    </w:p>
    <w:p>
      <w:pPr>
        <w:ind w:firstLine="425"/>
      </w:pPr>
      <w:r>
        <w:t xml:space="preserve">12.1. Если одному из супругов передаётся имущество, стоимость которого превышает причитающуюся ему долю, другому супругу может быть присуждена соответствующая денежная или иная компенсация (ст. 38 СК).</w:t>
      </w:r>
    </w:p>
    <w:p>
      <w:pPr>
        <w:ind w:firstLine="425"/>
      </w:pPr>
      <w:r>
        <w:t xml:space="preserve">12.2. Вещь, раздел которой в натуре невозможен без разрушения, повреждения или изменения её назначения, признаётся неделимой (ст. 133 ГК).</w:t>
      </w:r>
    </w:p>
    <w:p>
      <w:pPr>
        <w:ind w:firstLine="425"/>
      </w:pPr>
      <w:r>
        <w:t xml:space="preserve">12.3. При недостижении участниками долевой собственности соглашения о способе и условиях раздела общего имущества участник вправе требовать выдела своей доли, а при невозможности выдела — выплаты стоимости его доли другими участниками (ст. 252 ГК).</w:t>
      </w:r>
    </w:p>
    <w:p>
      <w:pPr>
        <w:ind w:firstLine="425"/>
      </w:pPr>
      <w:r>
        <w:t xml:space="preserve">12.4. Выплата компенсации вместо выдела доли в натуре допускается с согласия собственника; при незначительности доли, невозможности её реального выдела и отсутствии существенного интереса в использовании общего имущества суд может обязать остальных выплатить компенсацию и без такого согласия (ст. 252 ГК).</w:t>
      </w:r>
    </w:p>
    <w:p>
      <w:pPr>
        <w:ind w:firstLine="425"/>
      </w:pPr>
      <w:r>
        <w:t xml:space="preserve">12.5. Размер компенсации, которую просит взыскать Истец: 620000 рублей; расчёт приведён в Приложение № 3.</w:t>
      </w:r>
    </w:p>
    <w:p>
      <w:pPr>
        <w:ind w:firstLine="425"/>
      </w:pPr>
      <w:r>
        <w:t xml:space="preserve">12.6. Владение и пользование имуществом, находящимся в долевой собственности, осуществляются по соглашению всех её участников, а при недостижении согласия — в порядке, устанавливаемом судом (ст. 247 ГК).</w:t>
      </w:r>
    </w:p>
    <w:p>
      <w:pPr>
        <w:pStyle w:val="ClauseHeading"/>
      </w:pPr>
      <w:r>
        <w:rPr>
          <w:b/>
        </w:rPr>
        <w:t xml:space="preserve">13. Оценка имущества и распределение</w:t>
      </w:r>
    </w:p>
    <w:p>
      <w:pPr>
        <w:ind w:firstLine="425"/>
      </w:pPr>
      <w:r>
        <w:t xml:space="preserve">13.1. Стоимость имущества определена на основании: отчёт об оценке ООО «Энск-Оценка» № 44 от 20.04.2026, выписка из ЕГРН о кадастровой стоимости и приведена по каждой позиции в Приложение № 1.</w:t>
      </w:r>
    </w:p>
    <w:p>
      <w:pPr>
        <w:ind w:firstLine="425"/>
      </w:pPr>
      <w:r>
        <w:t xml:space="preserve">13.2. При разделе Истец исходит из принципа сохранения хозяйственного назначения вещей: имущество, которым фактически пользуется каждая из сторон, передаётся этой стороне, а разница в стоимости компенсируется деньгами.</w:t>
      </w:r>
    </w:p>
    <w:p>
      <w:pPr>
        <w:ind w:firstLine="425"/>
      </w:pPr>
      <w:r>
        <w:t xml:space="preserve">13.3. Разница между стоимостью переданного каждой стороне имущества компенсируется выплатой в размере 620000 рублей.</w:t>
      </w:r>
    </w:p>
    <w:p>
      <w:pPr>
        <w:ind w:firstLine="425"/>
      </w:pPr>
      <w:r>
        <w:t xml:space="preserve">13.4. Если Ответчик оспаривает стоимость имущества, Истец ходатайствует о назначении судебной оценочной экспертизы и просит поручить её проведение экспертной организации, обладающей соответствующей квалификацией (ст. 79 ГПК).</w:t>
      </w:r>
    </w:p>
    <w:p>
      <w:pPr>
        <w:ind w:firstLine="425"/>
      </w:pPr>
      <w:r>
        <w:t xml:space="preserve">13.5. При уклонении стороны от участия в экспертизе суд вправе признать факт, для выяснения которого экспертиза была назначена, установленным или опровергнутым (ст. 79 ГПК).</w:t>
      </w:r>
    </w:p>
    <w:p>
      <w:pPr>
        <w:pStyle w:val="ClauseHeading"/>
      </w:pPr>
      <w:r>
        <w:rPr>
          <w:b/>
        </w:rPr>
        <w:t xml:space="preserve">14. Досудебное урегулирование</w:t>
      </w:r>
    </w:p>
    <w:p>
      <w:pPr>
        <w:ind w:firstLine="425"/>
      </w:pPr>
      <w:r>
        <w:t xml:space="preserve">14.1. Результат досудебного урегулирования: Ответ не получен.</w:t>
      </w:r>
    </w:p>
    <w:p>
      <w:pPr>
        <w:ind w:firstLine="425"/>
      </w:pPr>
      <w:r>
        <w:t xml:space="preserve">14.2. 10.03.2026 Истец предложил Ответчику разделить имущество по соглашению и передал проект соглашения с перечнем имущества и его стоимостью.</w:t>
      </w:r>
    </w:p>
    <w:p>
      <w:pPr>
        <w:ind w:firstLine="425"/>
      </w:pPr>
      <w:r>
        <w:t xml:space="preserve">14.3. Соглашение не достигнуто.</w:t>
      </w:r>
    </w:p>
    <w:p>
      <w:pPr>
        <w:ind w:firstLine="425"/>
      </w:pPr>
      <w:r>
        <w:t xml:space="preserve">14.4. Общее имущество супругов может быть разделено между супругами по их соглашению, которое по желанию супругов может быть нотариально удостоверено; в случае спора раздел производится в судебном порядке (ст. 38 СК).</w:t>
      </w:r>
    </w:p>
    <w:p>
      <w:pPr>
        <w:ind w:firstLine="425"/>
      </w:pPr>
      <w:r>
        <w:t xml:space="preserve">14.5. Обязательный досудебный порядок по спорам о разделе имущества супругов законом не установлен, однако предложение о добровольном разделе учитывается судом при распределении судебных расходов.</w:t>
      </w:r>
    </w:p>
    <w:p>
      <w:pPr>
        <w:ind w:firstLine="425"/>
      </w:pPr>
      <w:r>
        <w:t xml:space="preserve">14.6. Обстоятельства раздельного проживания и приобретения имущества могут подтвердить свидетели: Петрова Ольга Ивановна, соседка, подтвердит раздельное проживание сторон с сентября 2024 года; Истец просит вызвать их в судебное заседание.</w:t>
      </w:r>
    </w:p>
    <w:p>
      <w:pPr>
        <w:pStyle w:val="ClauseHeading"/>
      </w:pPr>
      <w:r>
        <w:rPr>
          <w:b/>
        </w:rPr>
        <w:t xml:space="preserve">15. Подсудность</w:t>
      </w:r>
    </w:p>
    <w:p>
      <w:pPr>
        <w:ind w:firstLine="425"/>
      </w:pPr>
      <w:r>
        <w:t xml:space="preserve">15.1. Заявление подаётся в Энский районный суд города Энска; основание выбора суда — По адресу места жительства ответчика.</w:t>
      </w:r>
    </w:p>
    <w:p>
      <w:pPr>
        <w:ind w:firstLine="425"/>
      </w:pPr>
      <w:r>
        <w:t xml:space="preserve">15.2. Мировой судья рассматривает дела о разделе между супругами совместно нажитого имущества при цене иска, не превышающей пятидесяти тысяч рублей (ст. 23 ГПК).</w:t>
      </w:r>
    </w:p>
    <w:p>
      <w:pPr>
        <w:ind w:firstLine="425"/>
      </w:pPr>
      <w:r>
        <w:t xml:space="preserve">15.3. При цене иска свыше пятидесяти тысяч рублей, а также при одновременном заявлении требований о признании брака недействительным или об оспаривании сделок дело рассматривает районный суд (ст. 24 ГПК).</w:t>
      </w:r>
    </w:p>
    <w:p>
      <w:pPr>
        <w:ind w:firstLine="425"/>
      </w:pPr>
      <w:r>
        <w:t xml:space="preserve">15.4. Иски о правах на недвижимое имущество предъявляются в суд по месту нахождения такого имущества — это исключительная подсудность (ст. 30 ГПК).</w:t>
      </w:r>
    </w:p>
    <w:p>
      <w:pPr>
        <w:ind w:firstLine="425"/>
      </w:pPr>
      <w:r>
        <w:t xml:space="preserve">15.5. Иски о расторжении брака могут предъявляться по месту жительства истца, если с ним находится несовершеннолетний ребёнок или выезд к месту жительства ответчика для него затруднителен по состоянию здоровья (ст. 29 ГПК).</w:t>
      </w:r>
    </w:p>
    <w:p>
      <w:pPr>
        <w:ind w:firstLine="425"/>
      </w:pPr>
      <w:r>
        <w:t xml:space="preserve">15.6. По общему правилу иск предъявляется по адресу места жительства ответчика (ст. 28 ГПК).</w:t>
      </w:r>
    </w:p>
    <w:p>
      <w:pPr>
        <w:ind w:firstLine="425"/>
      </w:pPr>
      <w:r>
        <w:t xml:space="preserve">15.7. Цена иска по требованию о разделе определяется стоимостью истребуемого имущества (ст. 91 ГПК).</w:t>
      </w:r>
    </w:p>
    <w:p>
      <w:pPr>
        <w:pStyle w:val="ClauseHeading"/>
      </w:pPr>
      <w:r>
        <w:rPr>
          <w:b/>
        </w:rPr>
        <w:t xml:space="preserve">16. Государственная пошлина</w:t>
      </w:r>
    </w:p>
    <w:p>
      <w:pPr>
        <w:ind w:firstLine="425"/>
      </w:pPr>
      <w:r>
        <w:t xml:space="preserve">16.1. Требование о разделе имущества является имущественным и подлежащим оценке, поэтому пошлина исчисляется от цены иска по прогрессивной шкале, установленной статьёй 333.19 Налогового кодекса Российской Федерации.</w:t>
      </w:r>
    </w:p>
    <w:p>
      <w:pPr>
        <w:ind w:firstLine="425"/>
      </w:pPr>
      <w:r>
        <w:t xml:space="preserve">16.2. Цена иска определяется стоимостью того имущества, на которое претендует Истец, то есть стоимостью истребуемой доли, а не стоимостью всего общего имущества.</w:t>
      </w:r>
    </w:p>
    <w:p>
      <w:pPr>
        <w:ind w:firstLine="425"/>
      </w:pPr>
      <w:r>
        <w:t xml:space="preserve">16.3. Если одновременно заявлены неимущественные требования — о признании брака недействительным, о признании недействительным брачного договора или сделки, — пошлина по ним уплачивается дополнительно в твёрдом размере.</w:t>
      </w:r>
    </w:p>
    <w:p>
      <w:pPr>
        <w:ind w:firstLine="425"/>
      </w:pPr>
      <w:r>
        <w:t xml:space="preserve">16.4. При затруднительности определения цены иска на момент подачи заявления размер пошлины предварительно устанавливается судьёй с последующей доплатой — правило статьи 333.20 Налогового кодекса Российской Федерации.</w:t>
      </w:r>
    </w:p>
    <w:p>
      <w:pPr>
        <w:ind w:firstLine="425"/>
      </w:pPr>
      <w:r>
        <w:t xml:space="preserve">16.5. Состояние уплаты по настоящему заявлению: Уплачена, документ об уплате прилагается; сумма — 25450 рублей.</w:t>
      </w:r>
    </w:p>
    <w:p>
      <w:pPr>
        <w:ind w:firstLine="425"/>
      </w:pPr>
      <w:r>
        <w:t xml:space="preserve">16.6. Судебные расходы, включая пошлину, Истец просит взыскать с Ответчика пропорционально удовлетворённым требованиям (ст. 98 ГПК).</w:t>
      </w:r>
    </w:p>
    <w:p>
      <w:pPr>
        <w:pStyle w:val="ClauseHeading"/>
      </w:pPr>
      <w:r>
        <w:rPr>
          <w:b/>
        </w:rPr>
        <w:t xml:space="preserve">17. Срок исковой давности</w:t>
      </w:r>
    </w:p>
    <w:p>
      <w:pPr>
        <w:ind w:firstLine="425"/>
      </w:pPr>
      <w:r>
        <w:t xml:space="preserve">17.1. К требованиям супругов о разделе общего имущества, брак которых расторгнут, применяется трёхлетний срок исковой давности (ст. 38 СК).</w:t>
      </w:r>
    </w:p>
    <w:p>
      <w:pPr>
        <w:ind w:firstLine="425"/>
      </w:pPr>
      <w:r>
        <w:t xml:space="preserve">17.2. Течение срока начинается не со дня расторжения брака, а со дня, когда лицо узнало или должно было узнать о нарушении своего права (ст. 9 СК).</w:t>
      </w:r>
    </w:p>
    <w:p>
      <w:pPr>
        <w:ind w:firstLine="425"/>
      </w:pPr>
      <w:r>
        <w:t xml:space="preserve">17.3. Истец узнал о нарушении своего права при следующих обстоятельствах: с 05.02.2026, когда ответчик сменил замки и отказал в доступе в квартиру.</w:t>
      </w:r>
    </w:p>
    <w:p>
      <w:pPr>
        <w:ind w:firstLine="425"/>
      </w:pPr>
      <w:r>
        <w:t xml:space="preserve">17.4. Общий срок исковой давности составляет три года со дня, определяемого по указанным правилам (ст. 196 ГК), и исчисляется также со дня, когда истец узнал о надлежащем ответчике (ст. 200 ГК).</w:t>
      </w:r>
    </w:p>
    <w:p>
      <w:pPr>
        <w:ind w:firstLine="425"/>
      </w:pPr>
      <w:r>
        <w:t xml:space="preserve">17.5. Срок исковой давности по требованию о признании оспоримой сделки недействительной и о применении последствий её недействительности составляет один год (ст. 181 ГК).</w:t>
      </w:r>
    </w:p>
    <w:p>
      <w:pPr>
        <w:ind w:firstLine="425"/>
      </w:pPr>
      <w:r>
        <w:t xml:space="preserve">17.6. На требования о признании брака недействительным исковая давность не распространяется, за исключением случая сокрытия одним из супругов заболевания, когда применяется годичный срок (ст. 9 СК).</w:t>
      </w:r>
    </w:p>
    <w:p>
      <w:pPr>
        <w:ind w:firstLine="425"/>
      </w:pPr>
      <w:r>
        <w:t xml:space="preserve">18.1. На основании изложенного, руководствуясь статьями 33, 34, 36, 37, 38, 39 и 45 Семейного кодекса Российской Федерации, статьями 244, 252, 253 и 256 Гражданского кодекса Российской Федерации, статьями 131 и 132 Гражданского процессуального кодекса Российской Федерации, прошу:</w:t>
      </w:r>
    </w:p>
    <w:p>
      <w:pPr>
        <w:ind w:firstLine="425"/>
      </w:pPr>
      <w:r>
        <w:t xml:space="preserve">18.2. признать общим имуществом супругов имущество, нажитое в период брака с 12.06.2014, перечисленное в описи, — Приложение № 1;</w:t>
      </w:r>
    </w:p>
    <w:p>
      <w:pPr>
        <w:ind w:firstLine="425"/>
      </w:pPr>
      <w:r>
        <w:t xml:space="preserve">18.3. произвести раздел общего имущества супругов, определив долю Истца в размере 50;</w:t>
      </w:r>
    </w:p>
    <w:p>
      <w:pPr>
        <w:ind w:firstLine="425"/>
      </w:pPr>
      <w:r>
        <w:t xml:space="preserve">18.4. передать в собственность Истца следующее имущество: квартиру и предметы обстановки; автомобиль передать ответчику с выплатой компенсации истцу;</w:t>
      </w:r>
    </w:p>
    <w:p>
      <w:pPr>
        <w:ind w:firstLine="425"/>
      </w:pPr>
      <w:r>
        <w:t xml:space="preserve">18.5. передать в собственность Ответчика следующее имущество: автомобиль Kia Rio, гараж, инструменты;</w:t>
      </w:r>
    </w:p>
    <w:p>
      <w:pPr>
        <w:ind w:firstLine="425"/>
      </w:pPr>
      <w:r>
        <w:t xml:space="preserve">18.6. взыскать с Ответчика в пользу Истца денежную компенсацию за превышение стоимости переданного имущества в размере 620000 рублей;</w:t>
      </w:r>
    </w:p>
    <w:p>
      <w:pPr>
        <w:ind w:firstLine="425"/>
      </w:pPr>
      <w:r>
        <w:t xml:space="preserve">18.7. признать личной собственностью Истца и исключить из состава подлежащего разделу имущества: квартира, полученная истцом в дар от матери по договору от 04.05.2018;</w:t>
      </w:r>
    </w:p>
    <w:p>
      <w:pPr>
        <w:ind w:firstLine="425"/>
      </w:pPr>
      <w:r>
        <w:t xml:space="preserve">18.8. признать общими обязательствами супругов долги на сумму 2450000 рублей и распределить их между сторонами пропорционально присуждённым долям;</w:t>
      </w:r>
    </w:p>
    <w:p>
      <w:pPr>
        <w:ind w:firstLine="425"/>
      </w:pPr>
      <w:r>
        <w:t xml:space="preserve">18.9. взыскать с Ответчика в пользу Истца 384000 рублей, уплаченных Истцом по общим обязательствам после прекращения семейных отношений;</w:t>
      </w:r>
    </w:p>
    <w:p>
      <w:pPr>
        <w:ind w:firstLine="425"/>
      </w:pPr>
      <w:r>
        <w:t xml:space="preserve">18.10. признать недействительной сделку: договор купли-продажи автомобиля от 12.01.2025, заключённый ответчиком с братом по цене вдвое ниже рыночной — и применить последствия её недействительности, возвратив имущество в состав общего имущества супругов;</w:t>
      </w:r>
    </w:p>
    <w:p>
      <w:pPr>
        <w:ind w:firstLine="425"/>
      </w:pPr>
      <w:r>
        <w:t xml:space="preserve">18.11. признать недействительным брачный договор — брачный договор от 20.02.2020, удостоверен нотариусом Судеевой Е. П., реестровый № 77/44-н/77-2020-1-234;</w:t>
      </w:r>
    </w:p>
    <w:p>
      <w:pPr>
        <w:ind w:firstLine="425"/>
      </w:pPr>
      <w:r>
        <w:t xml:space="preserve">18.12. признать недействительным брак, зарегистрированный 12.06.2014, по основанию: Брак зарегистрирован без намерения создать семью (фиктивный брак);</w:t>
      </w:r>
    </w:p>
    <w:p>
      <w:pPr>
        <w:ind w:firstLine="425"/>
      </w:pPr>
      <w:r>
        <w:t xml:space="preserve">18.13. взыскать с Ответчика в пользу Истца материальный ущерб в размере 180000 рублей и компенсацию морального вреда в размере 100000 рублей;</w:t>
      </w:r>
    </w:p>
    <w:p>
      <w:pPr>
        <w:ind w:firstLine="425"/>
      </w:pPr>
      <w:r>
        <w:t xml:space="preserve">18.14. взыскать с Ответчика расходы на оплату услуг представителя в размере 70000 рублей;</w:t>
      </w:r>
    </w:p>
    <w:p>
      <w:pPr>
        <w:ind w:firstLine="425"/>
      </w:pPr>
      <w:r>
        <w:t xml:space="preserve">18.15. взыскать с Ответчика расходы на оценку имущества в размере 18000 рублей и расходы по уплате государственной пошлины в размере 25450 рублей;</w:t>
      </w:r>
    </w:p>
    <w:p>
      <w:pPr>
        <w:ind w:firstLine="425"/>
      </w:pPr>
      <w:r>
        <w:t xml:space="preserve">18.16. обязать ответчика передать истцу правоустанавливающие документы и ключи от квартиры</w:t>
      </w:r>
    </w:p>
    <w:p>
      <w:pPr>
        <w:ind w:firstLine="425"/>
      </w:pPr>
      <w:r>
        <w:t xml:space="preserve">19.1. Прилагаемые документы:</w:t>
      </w:r>
    </w:p>
    <w:p>
      <w:pPr>
        <w:ind w:firstLine="425"/>
      </w:pPr>
      <w:r>
        <w:t xml:space="preserve">19.2. уведомления о вручении или иные документы, подтверждающие направление Ответчику и третьим лицам копий искового заявления и приложенных к нему документов, которые у них отсутствуют;</w:t>
      </w:r>
    </w:p>
    <w:p>
      <w:pPr>
        <w:ind w:firstLine="425"/>
      </w:pPr>
      <w:r>
        <w:t xml:space="preserve">19.3. документ, подтверждающий уплату государственной пошлины, либо ходатайство об отсрочке её уплаты;</w:t>
      </w:r>
    </w:p>
    <w:p>
      <w:pPr>
        <w:ind w:firstLine="425"/>
      </w:pPr>
      <w:r>
        <w:t xml:space="preserve">19.4. копия свидетельства о заключении брака — серия I-МЮ № 123456, выдано Энским отделом ЗАГС 12.06.2014;</w:t>
      </w:r>
    </w:p>
    <w:p>
      <w:pPr>
        <w:ind w:firstLine="425"/>
      </w:pPr>
      <w:r>
        <w:t xml:space="preserve">19.5. копия документа о расторжении брака — свидетельство о расторжении брака серия II-МЮ № 654321 от 03.03.2025;</w:t>
      </w:r>
    </w:p>
    <w:p>
      <w:pPr>
        <w:ind w:firstLine="425"/>
      </w:pPr>
      <w:r>
        <w:t xml:space="preserve">19.6. копии свидетельств о рождении детей;</w:t>
      </w:r>
    </w:p>
    <w:p>
      <w:pPr>
        <w:ind w:firstLine="425"/>
      </w:pPr>
      <w:r>
        <w:t xml:space="preserve">19.7. правоустанавливающие документы на имущество: договоры, выписки из Единого государственного реестра недвижимости, паспорта транспортных средств, выписки по счетам и вкладам;</w:t>
      </w:r>
    </w:p>
    <w:p>
      <w:pPr>
        <w:ind w:firstLine="425"/>
      </w:pPr>
      <w:r>
        <w:t xml:space="preserve">19.8. документы о стоимости имущества — отчёт об оценке ООО «Энск-Оценка» № 44 от 20.04.2026, выписка из ЕГРН о кадастровой стоимости;</w:t>
      </w:r>
    </w:p>
    <w:p>
      <w:pPr>
        <w:ind w:firstLine="425"/>
      </w:pPr>
      <w:r>
        <w:t xml:space="preserve">19.9. опись имущества, подлежащего разделу, — Приложение № 1;</w:t>
      </w:r>
    </w:p>
    <w:p>
      <w:pPr>
        <w:ind w:firstLine="425"/>
      </w:pPr>
      <w:r>
        <w:t xml:space="preserve">19.10. перечень общих обязательств с кредитными договорами, графиками платежей и документами об оплате — Приложение № 2;</w:t>
      </w:r>
    </w:p>
    <w:p>
      <w:pPr>
        <w:ind w:firstLine="425"/>
      </w:pPr>
      <w:r>
        <w:t xml:space="preserve">19.11. документы, подтверждающие личный характер имущества: договоры дарения, свидетельства о праве на наследство, документы о приобретении до брака;</w:t>
      </w:r>
    </w:p>
    <w:p>
      <w:pPr>
        <w:ind w:firstLine="425"/>
      </w:pPr>
      <w:r>
        <w:t xml:space="preserve">19.12. копия оспариваемой сделки от 12.01.2025 и документы о её исполнении;</w:t>
      </w:r>
    </w:p>
    <w:p>
      <w:pPr>
        <w:ind w:firstLine="425"/>
      </w:pPr>
      <w:r>
        <w:t xml:space="preserve">19.13. копия брачного договора — брачный договор от 20.02.2020, удостоверен нотариусом Судеевой Е. П., реестровый № 77/44-н/77-2020-1-234;</w:t>
      </w:r>
    </w:p>
    <w:p>
      <w:pPr>
        <w:ind w:firstLine="425"/>
      </w:pPr>
      <w:r>
        <w:t xml:space="preserve">19.14. расчёт цены иска и стоимости долей, подписанный Истцом, — Приложение № 3;</w:t>
      </w:r>
    </w:p>
    <w:p>
      <w:pPr>
        <w:ind w:firstLine="425"/>
      </w:pPr>
      <w:r>
        <w:t xml:space="preserve">19.15. доверенность представителя и документ о его высшем юридическом образовании;</w:t>
      </w:r>
    </w:p>
    <w:p>
      <w:pPr>
        <w:ind w:firstLine="425"/>
      </w:pPr>
      <w:r>
        <w:t xml:space="preserve">19.16. справка о доходах ответчика, выписки по счетам, фотографии имущества</w:t>
      </w:r>
    </w:p>
    <w:p>
      <w:pPr>
        <w:pageBreakBefore/>
      </w:pPr>
    </w:p>
    <w:p>
      <w:pPr>
        <w:jc w:val="right"/>
      </w:pPr>
      <w:r>
        <w:rPr>
          <w:b/>
        </w:rPr>
        <w:t xml:space="preserve">Приложение № 1 к документу</w:t>
      </w:r>
    </w:p>
    <w:p>
      <w:pPr>
        <w:pStyle w:val="DocTitle"/>
      </w:pPr>
      <w:r>
        <w:t xml:space="preserve">Опись имущества, подлежащего разделу</w:t>
      </w:r>
    </w:p>
    <w:p>
      <w:pPr>
        <w:ind w:firstLine="425"/>
      </w:pPr>
      <w:r>
        <w:t xml:space="preserve">Опись составлена по состоянию на 25.04.2026 по имуществу, нажитому в период брака с 12.06.2014.</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391"/>
        <w:gridCol w:w="1824"/>
        <w:gridCol w:w="1563"/>
        <w:gridCol w:w="1172"/>
        <w:gridCol w:w="2345"/>
        <w:gridCol w:w="1303"/>
        <w:gridCol w:w="1042"/>
      </w:tblGrid>
      <w:tr>
        <w:tc>
          <w:tcPr>
            <w:tcW w:w="203" w:type="pct"/>
            <w:vAlign w:val="center"/>
          </w:tcPr>
          <w:p>
            <w:pPr>
              <w:jc w:val="center"/>
              <w:ind w:firstLine="0"/>
            </w:pPr>
            <w:r>
              <w:rPr>
                <w:b/>
              </w:rPr>
              <w:t xml:space="preserve">№</w:t>
            </w:r>
          </w:p>
        </w:tc>
        <w:tc>
          <w:tcPr>
            <w:tcW w:w="946" w:type="pct"/>
            <w:vAlign w:val="center"/>
          </w:tcPr>
          <w:p>
            <w:pPr>
              <w:jc w:val="center"/>
              <w:ind w:firstLine="0"/>
            </w:pPr>
            <w:r>
              <w:rPr>
                <w:b/>
              </w:rPr>
              <w:t xml:space="preserve">Наименование и признаки</w:t>
            </w:r>
          </w:p>
        </w:tc>
        <w:tc>
          <w:tcPr>
            <w:tcW w:w="811" w:type="pct"/>
            <w:vAlign w:val="center"/>
          </w:tcPr>
          <w:p>
            <w:pPr>
              <w:jc w:val="center"/>
              <w:ind w:firstLine="0"/>
            </w:pPr>
            <w:r>
              <w:rPr>
                <w:b/>
              </w:rPr>
              <w:t xml:space="preserve">Дата приобретения</w:t>
            </w:r>
          </w:p>
        </w:tc>
        <w:tc>
          <w:tcPr>
            <w:tcW w:w="608" w:type="pct"/>
            <w:vAlign w:val="center"/>
          </w:tcPr>
          <w:p>
            <w:pPr>
              <w:jc w:val="center"/>
              <w:ind w:firstLine="0"/>
            </w:pPr>
            <w:r>
              <w:rPr>
                <w:b/>
              </w:rPr>
              <w:t xml:space="preserve">На кого оформлено</w:t>
            </w:r>
          </w:p>
        </w:tc>
        <w:tc>
          <w:tcPr>
            <w:tcW w:w="1216" w:type="pct"/>
            <w:vAlign w:val="center"/>
          </w:tcPr>
          <w:p>
            <w:pPr>
              <w:jc w:val="center"/>
              <w:ind w:firstLine="0"/>
            </w:pPr>
            <w:r>
              <w:rPr>
                <w:b/>
              </w:rPr>
              <w:t xml:space="preserve">Документ-основание</w:t>
            </w:r>
          </w:p>
        </w:tc>
        <w:tc>
          <w:tcPr>
            <w:tcW w:w="676" w:type="pct"/>
            <w:vAlign w:val="center"/>
          </w:tcPr>
          <w:p>
            <w:pPr>
              <w:jc w:val="center"/>
              <w:ind w:firstLine="0"/>
            </w:pPr>
            <w:r>
              <w:rPr>
                <w:b/>
              </w:rPr>
              <w:t xml:space="preserve">Стоимость, руб.</w:t>
            </w:r>
          </w:p>
        </w:tc>
        <w:tc>
          <w:tcPr>
            <w:tcW w:w="541" w:type="pct"/>
            <w:vAlign w:val="center"/>
          </w:tcPr>
          <w:p>
            <w:pPr>
              <w:jc w:val="center"/>
              <w:ind w:firstLine="0"/>
            </w:pPr>
            <w:r>
              <w:rPr>
                <w:b/>
              </w:rPr>
              <w:t xml:space="preserve">Кому передать</w:t>
            </w: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bl>
    <w:p/>
    <w:p>
      <w:pPr>
        <w:ind w:firstLine="425"/>
      </w:pPr>
      <w:r>
        <w:t xml:space="preserve">Итого стоимость общего имущества: 6900000 рублей. Оценка подтверждается: отчёт об оценке ООО «Энск-Оценка» № 44 от 20.04.2026, выписка из ЕГРН о кадастровой стоимости.</w:t>
      </w:r>
    </w:p>
    <w:p>
      <w:pPr>
        <w:ind w:firstLine="425"/>
      </w:pPr>
      <w:r>
        <w:t xml:space="preserve">Имущество, которое Истец просит исключить из раздела как личное: квартира, полученная истцом в дар от матери по договору от 04.05.2018.</w:t>
      </w:r>
    </w:p>
    <w:p>
      <w:pPr>
        <w:pageBreakBefore/>
      </w:pPr>
    </w:p>
    <w:p>
      <w:pPr>
        <w:jc w:val="right"/>
      </w:pPr>
      <w:r>
        <w:rPr>
          <w:b/>
        </w:rPr>
        <w:t xml:space="preserve">Приложение № 2 к документу</w:t>
      </w:r>
    </w:p>
    <w:p>
      <w:pPr>
        <w:pStyle w:val="DocTitle"/>
      </w:pPr>
      <w:r>
        <w:t xml:space="preserve">Перечень общих обязательств супругов</w:t>
      </w:r>
    </w:p>
    <w:p>
      <w:pPr>
        <w:ind w:firstLine="425"/>
      </w:pPr>
      <w:r>
        <w:t xml:space="preserve">Перечень составлен по состоянию на 25.04.2026.</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36"/>
        <w:gridCol w:w="1428"/>
        <w:gridCol w:w="1607"/>
        <w:gridCol w:w="2320"/>
        <w:gridCol w:w="1785"/>
        <w:gridCol w:w="1963"/>
      </w:tblGrid>
      <w:tr>
        <w:tc>
          <w:tcPr>
            <w:tcW w:w="278" w:type="pct"/>
            <w:vAlign w:val="center"/>
          </w:tcPr>
          <w:p>
            <w:pPr>
              <w:jc w:val="center"/>
              <w:ind w:firstLine="0"/>
            </w:pPr>
            <w:r>
              <w:rPr>
                <w:b/>
              </w:rPr>
              <w:t xml:space="preserve">№</w:t>
            </w:r>
          </w:p>
        </w:tc>
        <w:tc>
          <w:tcPr>
            <w:tcW w:w="741" w:type="pct"/>
            <w:vAlign w:val="center"/>
          </w:tcPr>
          <w:p>
            <w:pPr>
              <w:jc w:val="center"/>
              <w:ind w:firstLine="0"/>
            </w:pPr>
            <w:r>
              <w:rPr>
                <w:b/>
              </w:rPr>
              <w:t xml:space="preserve">Кредитор</w:t>
            </w:r>
          </w:p>
        </w:tc>
        <w:tc>
          <w:tcPr>
            <w:tcW w:w="833" w:type="pct"/>
            <w:vAlign w:val="center"/>
          </w:tcPr>
          <w:p>
            <w:pPr>
              <w:jc w:val="center"/>
              <w:ind w:firstLine="0"/>
            </w:pPr>
            <w:r>
              <w:rPr>
                <w:b/>
              </w:rPr>
              <w:t xml:space="preserve">Договор, дата</w:t>
            </w:r>
          </w:p>
        </w:tc>
        <w:tc>
          <w:tcPr>
            <w:tcW w:w="1204" w:type="pct"/>
            <w:vAlign w:val="center"/>
          </w:tcPr>
          <w:p>
            <w:pPr>
              <w:jc w:val="center"/>
              <w:ind w:firstLine="0"/>
            </w:pPr>
            <w:r>
              <w:rPr>
                <w:b/>
              </w:rPr>
              <w:t xml:space="preserve">Цель заимствования</w:t>
            </w:r>
          </w:p>
        </w:tc>
        <w:tc>
          <w:tcPr>
            <w:tcW w:w="926" w:type="pct"/>
            <w:vAlign w:val="center"/>
          </w:tcPr>
          <w:p>
            <w:pPr>
              <w:jc w:val="center"/>
              <w:ind w:firstLine="0"/>
            </w:pPr>
            <w:r>
              <w:rPr>
                <w:b/>
              </w:rPr>
              <w:t xml:space="preserve">Остаток долга, руб.</w:t>
            </w:r>
          </w:p>
        </w:tc>
        <w:tc>
          <w:tcPr>
            <w:tcW w:w="1018" w:type="pct"/>
            <w:vAlign w:val="center"/>
          </w:tcPr>
          <w:p>
            <w:pPr>
              <w:jc w:val="center"/>
              <w:ind w:firstLine="0"/>
            </w:pPr>
            <w:r>
              <w:rPr>
                <w:b/>
              </w:rPr>
              <w:t xml:space="preserve">Кем вносились платежи</w:t>
            </w:r>
          </w:p>
        </w:tc>
      </w:tr>
      <w:tr>
        <w:trPr>
          <w:trHeight w:val="397" w:hRule="atLeast"/>
        </w:trPr>
        <w:tc>
          <w:tcPr>
            <w:tcW w:w="278" w:type="pct"/>
            <w:vAlign w:val="center"/>
          </w:tcPr>
          <w:p>
            <w:pPr>
              <w:jc w:val="center"/>
              <w:ind w:firstLine="0"/>
            </w:pPr>
          </w:p>
        </w:tc>
        <w:tc>
          <w:tcPr>
            <w:tcW w:w="741" w:type="pct"/>
            <w:vAlign w:val="center"/>
          </w:tcPr>
          <w:p>
            <w:pPr>
              <w:jc w:val="left"/>
              <w:ind w:firstLine="0"/>
            </w:pPr>
          </w:p>
        </w:tc>
        <w:tc>
          <w:tcPr>
            <w:tcW w:w="833" w:type="pct"/>
            <w:vAlign w:val="center"/>
          </w:tcPr>
          <w:p>
            <w:pPr>
              <w:jc w:val="left"/>
              <w:ind w:firstLine="0"/>
            </w:pPr>
          </w:p>
        </w:tc>
        <w:tc>
          <w:tcPr>
            <w:tcW w:w="1204" w:type="pct"/>
            <w:vAlign w:val="center"/>
          </w:tcPr>
          <w:p>
            <w:pPr>
              <w:jc w:val="left"/>
              <w:ind w:firstLine="0"/>
            </w:pPr>
          </w:p>
        </w:tc>
        <w:tc>
          <w:tcPr>
            <w:tcW w:w="926" w:type="pct"/>
            <w:vAlign w:val="center"/>
          </w:tcPr>
          <w:p>
            <w:pPr>
              <w:jc w:val="left"/>
              <w:ind w:firstLine="0"/>
            </w:pPr>
          </w:p>
        </w:tc>
        <w:tc>
          <w:tcPr>
            <w:tcW w:w="1018" w:type="pct"/>
            <w:vAlign w:val="center"/>
          </w:tcPr>
          <w:p>
            <w:pPr>
              <w:jc w:val="left"/>
              <w:ind w:firstLine="0"/>
            </w:pPr>
          </w:p>
        </w:tc>
      </w:tr>
      <w:tr>
        <w:trPr>
          <w:trHeight w:val="397" w:hRule="atLeast"/>
        </w:trPr>
        <w:tc>
          <w:tcPr>
            <w:tcW w:w="278" w:type="pct"/>
            <w:vAlign w:val="center"/>
          </w:tcPr>
          <w:p>
            <w:pPr>
              <w:jc w:val="center"/>
              <w:ind w:firstLine="0"/>
            </w:pPr>
          </w:p>
        </w:tc>
        <w:tc>
          <w:tcPr>
            <w:tcW w:w="741" w:type="pct"/>
            <w:vAlign w:val="center"/>
          </w:tcPr>
          <w:p>
            <w:pPr>
              <w:jc w:val="left"/>
              <w:ind w:firstLine="0"/>
            </w:pPr>
          </w:p>
        </w:tc>
        <w:tc>
          <w:tcPr>
            <w:tcW w:w="833" w:type="pct"/>
            <w:vAlign w:val="center"/>
          </w:tcPr>
          <w:p>
            <w:pPr>
              <w:jc w:val="left"/>
              <w:ind w:firstLine="0"/>
            </w:pPr>
          </w:p>
        </w:tc>
        <w:tc>
          <w:tcPr>
            <w:tcW w:w="1204" w:type="pct"/>
            <w:vAlign w:val="center"/>
          </w:tcPr>
          <w:p>
            <w:pPr>
              <w:jc w:val="left"/>
              <w:ind w:firstLine="0"/>
            </w:pPr>
          </w:p>
        </w:tc>
        <w:tc>
          <w:tcPr>
            <w:tcW w:w="926" w:type="pct"/>
            <w:vAlign w:val="center"/>
          </w:tcPr>
          <w:p>
            <w:pPr>
              <w:jc w:val="left"/>
              <w:ind w:firstLine="0"/>
            </w:pPr>
          </w:p>
        </w:tc>
        <w:tc>
          <w:tcPr>
            <w:tcW w:w="1018" w:type="pct"/>
            <w:vAlign w:val="center"/>
          </w:tcPr>
          <w:p>
            <w:pPr>
              <w:jc w:val="left"/>
              <w:ind w:firstLine="0"/>
            </w:pPr>
          </w:p>
        </w:tc>
      </w:tr>
      <w:tr>
        <w:trPr>
          <w:trHeight w:val="397" w:hRule="atLeast"/>
        </w:trPr>
        <w:tc>
          <w:tcPr>
            <w:tcW w:w="278" w:type="pct"/>
            <w:vAlign w:val="center"/>
          </w:tcPr>
          <w:p>
            <w:pPr>
              <w:jc w:val="center"/>
              <w:ind w:firstLine="0"/>
            </w:pPr>
          </w:p>
        </w:tc>
        <w:tc>
          <w:tcPr>
            <w:tcW w:w="741" w:type="pct"/>
            <w:vAlign w:val="center"/>
          </w:tcPr>
          <w:p>
            <w:pPr>
              <w:jc w:val="left"/>
              <w:ind w:firstLine="0"/>
            </w:pPr>
          </w:p>
        </w:tc>
        <w:tc>
          <w:tcPr>
            <w:tcW w:w="833" w:type="pct"/>
            <w:vAlign w:val="center"/>
          </w:tcPr>
          <w:p>
            <w:pPr>
              <w:jc w:val="left"/>
              <w:ind w:firstLine="0"/>
            </w:pPr>
          </w:p>
        </w:tc>
        <w:tc>
          <w:tcPr>
            <w:tcW w:w="1204" w:type="pct"/>
            <w:vAlign w:val="center"/>
          </w:tcPr>
          <w:p>
            <w:pPr>
              <w:jc w:val="left"/>
              <w:ind w:firstLine="0"/>
            </w:pPr>
          </w:p>
        </w:tc>
        <w:tc>
          <w:tcPr>
            <w:tcW w:w="926" w:type="pct"/>
            <w:vAlign w:val="center"/>
          </w:tcPr>
          <w:p>
            <w:pPr>
              <w:jc w:val="left"/>
              <w:ind w:firstLine="0"/>
            </w:pPr>
          </w:p>
        </w:tc>
        <w:tc>
          <w:tcPr>
            <w:tcW w:w="1018" w:type="pct"/>
            <w:vAlign w:val="center"/>
          </w:tcPr>
          <w:p>
            <w:pPr>
              <w:jc w:val="left"/>
              <w:ind w:firstLine="0"/>
            </w:pPr>
          </w:p>
        </w:tc>
      </w:tr>
      <w:tr>
        <w:trPr>
          <w:trHeight w:val="397" w:hRule="atLeast"/>
        </w:trPr>
        <w:tc>
          <w:tcPr>
            <w:tcW w:w="278" w:type="pct"/>
            <w:vAlign w:val="center"/>
          </w:tcPr>
          <w:p>
            <w:pPr>
              <w:jc w:val="center"/>
              <w:ind w:firstLine="0"/>
            </w:pPr>
          </w:p>
        </w:tc>
        <w:tc>
          <w:tcPr>
            <w:tcW w:w="741" w:type="pct"/>
            <w:vAlign w:val="center"/>
          </w:tcPr>
          <w:p>
            <w:pPr>
              <w:jc w:val="left"/>
              <w:ind w:firstLine="0"/>
            </w:pPr>
          </w:p>
        </w:tc>
        <w:tc>
          <w:tcPr>
            <w:tcW w:w="833" w:type="pct"/>
            <w:vAlign w:val="center"/>
          </w:tcPr>
          <w:p>
            <w:pPr>
              <w:jc w:val="left"/>
              <w:ind w:firstLine="0"/>
            </w:pPr>
          </w:p>
        </w:tc>
        <w:tc>
          <w:tcPr>
            <w:tcW w:w="1204" w:type="pct"/>
            <w:vAlign w:val="center"/>
          </w:tcPr>
          <w:p>
            <w:pPr>
              <w:jc w:val="left"/>
              <w:ind w:firstLine="0"/>
            </w:pPr>
          </w:p>
        </w:tc>
        <w:tc>
          <w:tcPr>
            <w:tcW w:w="926" w:type="pct"/>
            <w:vAlign w:val="center"/>
          </w:tcPr>
          <w:p>
            <w:pPr>
              <w:jc w:val="left"/>
              <w:ind w:firstLine="0"/>
            </w:pPr>
          </w:p>
        </w:tc>
        <w:tc>
          <w:tcPr>
            <w:tcW w:w="1018" w:type="pct"/>
            <w:vAlign w:val="center"/>
          </w:tcPr>
          <w:p>
            <w:pPr>
              <w:jc w:val="left"/>
              <w:ind w:firstLine="0"/>
            </w:pPr>
          </w:p>
        </w:tc>
      </w:tr>
      <w:tr>
        <w:trPr>
          <w:trHeight w:val="397" w:hRule="atLeast"/>
        </w:trPr>
        <w:tc>
          <w:tcPr>
            <w:tcW w:w="278" w:type="pct"/>
            <w:vAlign w:val="center"/>
          </w:tcPr>
          <w:p>
            <w:pPr>
              <w:jc w:val="center"/>
              <w:ind w:firstLine="0"/>
            </w:pPr>
          </w:p>
        </w:tc>
        <w:tc>
          <w:tcPr>
            <w:tcW w:w="741" w:type="pct"/>
            <w:vAlign w:val="center"/>
          </w:tcPr>
          <w:p>
            <w:pPr>
              <w:jc w:val="left"/>
              <w:ind w:firstLine="0"/>
            </w:pPr>
          </w:p>
        </w:tc>
        <w:tc>
          <w:tcPr>
            <w:tcW w:w="833" w:type="pct"/>
            <w:vAlign w:val="center"/>
          </w:tcPr>
          <w:p>
            <w:pPr>
              <w:jc w:val="left"/>
              <w:ind w:firstLine="0"/>
            </w:pPr>
          </w:p>
        </w:tc>
        <w:tc>
          <w:tcPr>
            <w:tcW w:w="1204" w:type="pct"/>
            <w:vAlign w:val="center"/>
          </w:tcPr>
          <w:p>
            <w:pPr>
              <w:jc w:val="left"/>
              <w:ind w:firstLine="0"/>
            </w:pPr>
          </w:p>
        </w:tc>
        <w:tc>
          <w:tcPr>
            <w:tcW w:w="926" w:type="pct"/>
            <w:vAlign w:val="center"/>
          </w:tcPr>
          <w:p>
            <w:pPr>
              <w:jc w:val="left"/>
              <w:ind w:firstLine="0"/>
            </w:pPr>
          </w:p>
        </w:tc>
        <w:tc>
          <w:tcPr>
            <w:tcW w:w="1018" w:type="pct"/>
            <w:vAlign w:val="center"/>
          </w:tcPr>
          <w:p>
            <w:pPr>
              <w:jc w:val="left"/>
              <w:ind w:firstLine="0"/>
            </w:pPr>
          </w:p>
        </w:tc>
      </w:tr>
      <w:tr>
        <w:trPr>
          <w:trHeight w:val="397" w:hRule="atLeast"/>
        </w:trPr>
        <w:tc>
          <w:tcPr>
            <w:tcW w:w="278" w:type="pct"/>
            <w:vAlign w:val="center"/>
          </w:tcPr>
          <w:p>
            <w:pPr>
              <w:jc w:val="center"/>
              <w:ind w:firstLine="0"/>
            </w:pPr>
          </w:p>
        </w:tc>
        <w:tc>
          <w:tcPr>
            <w:tcW w:w="741" w:type="pct"/>
            <w:vAlign w:val="center"/>
          </w:tcPr>
          <w:p>
            <w:pPr>
              <w:jc w:val="left"/>
              <w:ind w:firstLine="0"/>
            </w:pPr>
          </w:p>
        </w:tc>
        <w:tc>
          <w:tcPr>
            <w:tcW w:w="833" w:type="pct"/>
            <w:vAlign w:val="center"/>
          </w:tcPr>
          <w:p>
            <w:pPr>
              <w:jc w:val="left"/>
              <w:ind w:firstLine="0"/>
            </w:pPr>
          </w:p>
        </w:tc>
        <w:tc>
          <w:tcPr>
            <w:tcW w:w="1204" w:type="pct"/>
            <w:vAlign w:val="center"/>
          </w:tcPr>
          <w:p>
            <w:pPr>
              <w:jc w:val="left"/>
              <w:ind w:firstLine="0"/>
            </w:pPr>
          </w:p>
        </w:tc>
        <w:tc>
          <w:tcPr>
            <w:tcW w:w="926" w:type="pct"/>
            <w:vAlign w:val="center"/>
          </w:tcPr>
          <w:p>
            <w:pPr>
              <w:jc w:val="left"/>
              <w:ind w:firstLine="0"/>
            </w:pPr>
          </w:p>
        </w:tc>
        <w:tc>
          <w:tcPr>
            <w:tcW w:w="1018" w:type="pct"/>
            <w:vAlign w:val="center"/>
          </w:tcPr>
          <w:p>
            <w:pPr>
              <w:jc w:val="left"/>
              <w:ind w:firstLine="0"/>
            </w:pPr>
          </w:p>
        </w:tc>
      </w:tr>
      <w:tr>
        <w:trPr>
          <w:trHeight w:val="397" w:hRule="atLeast"/>
        </w:trPr>
        <w:tc>
          <w:tcPr>
            <w:tcW w:w="278" w:type="pct"/>
            <w:vAlign w:val="center"/>
          </w:tcPr>
          <w:p>
            <w:pPr>
              <w:jc w:val="center"/>
              <w:ind w:firstLine="0"/>
            </w:pPr>
          </w:p>
        </w:tc>
        <w:tc>
          <w:tcPr>
            <w:tcW w:w="741" w:type="pct"/>
            <w:vAlign w:val="center"/>
          </w:tcPr>
          <w:p>
            <w:pPr>
              <w:jc w:val="left"/>
              <w:ind w:firstLine="0"/>
            </w:pPr>
          </w:p>
        </w:tc>
        <w:tc>
          <w:tcPr>
            <w:tcW w:w="833" w:type="pct"/>
            <w:vAlign w:val="center"/>
          </w:tcPr>
          <w:p>
            <w:pPr>
              <w:jc w:val="left"/>
              <w:ind w:firstLine="0"/>
            </w:pPr>
          </w:p>
        </w:tc>
        <w:tc>
          <w:tcPr>
            <w:tcW w:w="1204" w:type="pct"/>
            <w:vAlign w:val="center"/>
          </w:tcPr>
          <w:p>
            <w:pPr>
              <w:jc w:val="left"/>
              <w:ind w:firstLine="0"/>
            </w:pPr>
          </w:p>
        </w:tc>
        <w:tc>
          <w:tcPr>
            <w:tcW w:w="926" w:type="pct"/>
            <w:vAlign w:val="center"/>
          </w:tcPr>
          <w:p>
            <w:pPr>
              <w:jc w:val="left"/>
              <w:ind w:firstLine="0"/>
            </w:pPr>
          </w:p>
        </w:tc>
        <w:tc>
          <w:tcPr>
            <w:tcW w:w="1018" w:type="pct"/>
            <w:vAlign w:val="center"/>
          </w:tcPr>
          <w:p>
            <w:pPr>
              <w:jc w:val="left"/>
              <w:ind w:firstLine="0"/>
            </w:pPr>
          </w:p>
        </w:tc>
      </w:tr>
      <w:tr>
        <w:trPr>
          <w:trHeight w:val="397" w:hRule="atLeast"/>
        </w:trPr>
        <w:tc>
          <w:tcPr>
            <w:tcW w:w="278" w:type="pct"/>
            <w:vAlign w:val="center"/>
          </w:tcPr>
          <w:p>
            <w:pPr>
              <w:jc w:val="center"/>
              <w:ind w:firstLine="0"/>
            </w:pPr>
          </w:p>
        </w:tc>
        <w:tc>
          <w:tcPr>
            <w:tcW w:w="741" w:type="pct"/>
            <w:vAlign w:val="center"/>
          </w:tcPr>
          <w:p>
            <w:pPr>
              <w:jc w:val="left"/>
              <w:ind w:firstLine="0"/>
            </w:pPr>
          </w:p>
        </w:tc>
        <w:tc>
          <w:tcPr>
            <w:tcW w:w="833" w:type="pct"/>
            <w:vAlign w:val="center"/>
          </w:tcPr>
          <w:p>
            <w:pPr>
              <w:jc w:val="left"/>
              <w:ind w:firstLine="0"/>
            </w:pPr>
          </w:p>
        </w:tc>
        <w:tc>
          <w:tcPr>
            <w:tcW w:w="1204" w:type="pct"/>
            <w:vAlign w:val="center"/>
          </w:tcPr>
          <w:p>
            <w:pPr>
              <w:jc w:val="left"/>
              <w:ind w:firstLine="0"/>
            </w:pPr>
          </w:p>
        </w:tc>
        <w:tc>
          <w:tcPr>
            <w:tcW w:w="926" w:type="pct"/>
            <w:vAlign w:val="center"/>
          </w:tcPr>
          <w:p>
            <w:pPr>
              <w:jc w:val="left"/>
              <w:ind w:firstLine="0"/>
            </w:pPr>
          </w:p>
        </w:tc>
        <w:tc>
          <w:tcPr>
            <w:tcW w:w="1018" w:type="pct"/>
            <w:vAlign w:val="center"/>
          </w:tcPr>
          <w:p>
            <w:pPr>
              <w:jc w:val="left"/>
              <w:ind w:firstLine="0"/>
            </w:pPr>
          </w:p>
        </w:tc>
      </w:tr>
      <w:tr>
        <w:trPr>
          <w:trHeight w:val="397" w:hRule="atLeast"/>
        </w:trPr>
        <w:tc>
          <w:tcPr>
            <w:tcW w:w="278" w:type="pct"/>
            <w:vAlign w:val="center"/>
          </w:tcPr>
          <w:p>
            <w:pPr>
              <w:jc w:val="center"/>
              <w:ind w:firstLine="0"/>
            </w:pPr>
          </w:p>
        </w:tc>
        <w:tc>
          <w:tcPr>
            <w:tcW w:w="741" w:type="pct"/>
            <w:vAlign w:val="center"/>
          </w:tcPr>
          <w:p>
            <w:pPr>
              <w:jc w:val="left"/>
              <w:ind w:firstLine="0"/>
            </w:pPr>
          </w:p>
        </w:tc>
        <w:tc>
          <w:tcPr>
            <w:tcW w:w="833" w:type="pct"/>
            <w:vAlign w:val="center"/>
          </w:tcPr>
          <w:p>
            <w:pPr>
              <w:jc w:val="left"/>
              <w:ind w:firstLine="0"/>
            </w:pPr>
          </w:p>
        </w:tc>
        <w:tc>
          <w:tcPr>
            <w:tcW w:w="1204" w:type="pct"/>
            <w:vAlign w:val="center"/>
          </w:tcPr>
          <w:p>
            <w:pPr>
              <w:jc w:val="left"/>
              <w:ind w:firstLine="0"/>
            </w:pPr>
          </w:p>
        </w:tc>
        <w:tc>
          <w:tcPr>
            <w:tcW w:w="926" w:type="pct"/>
            <w:vAlign w:val="center"/>
          </w:tcPr>
          <w:p>
            <w:pPr>
              <w:jc w:val="left"/>
              <w:ind w:firstLine="0"/>
            </w:pPr>
          </w:p>
        </w:tc>
        <w:tc>
          <w:tcPr>
            <w:tcW w:w="1018" w:type="pct"/>
            <w:vAlign w:val="center"/>
          </w:tcPr>
          <w:p>
            <w:pPr>
              <w:jc w:val="left"/>
              <w:ind w:firstLine="0"/>
            </w:pPr>
          </w:p>
        </w:tc>
      </w:tr>
      <w:tr>
        <w:trPr>
          <w:trHeight w:val="397" w:hRule="atLeast"/>
        </w:trPr>
        <w:tc>
          <w:tcPr>
            <w:tcW w:w="278" w:type="pct"/>
            <w:vAlign w:val="center"/>
          </w:tcPr>
          <w:p>
            <w:pPr>
              <w:jc w:val="center"/>
              <w:ind w:firstLine="0"/>
            </w:pPr>
          </w:p>
        </w:tc>
        <w:tc>
          <w:tcPr>
            <w:tcW w:w="741" w:type="pct"/>
            <w:vAlign w:val="center"/>
          </w:tcPr>
          <w:p>
            <w:pPr>
              <w:jc w:val="left"/>
              <w:ind w:firstLine="0"/>
            </w:pPr>
          </w:p>
        </w:tc>
        <w:tc>
          <w:tcPr>
            <w:tcW w:w="833" w:type="pct"/>
            <w:vAlign w:val="center"/>
          </w:tcPr>
          <w:p>
            <w:pPr>
              <w:jc w:val="left"/>
              <w:ind w:firstLine="0"/>
            </w:pPr>
          </w:p>
        </w:tc>
        <w:tc>
          <w:tcPr>
            <w:tcW w:w="1204" w:type="pct"/>
            <w:vAlign w:val="center"/>
          </w:tcPr>
          <w:p>
            <w:pPr>
              <w:jc w:val="left"/>
              <w:ind w:firstLine="0"/>
            </w:pPr>
          </w:p>
        </w:tc>
        <w:tc>
          <w:tcPr>
            <w:tcW w:w="926" w:type="pct"/>
            <w:vAlign w:val="center"/>
          </w:tcPr>
          <w:p>
            <w:pPr>
              <w:jc w:val="left"/>
              <w:ind w:firstLine="0"/>
            </w:pPr>
          </w:p>
        </w:tc>
        <w:tc>
          <w:tcPr>
            <w:tcW w:w="1018" w:type="pct"/>
            <w:vAlign w:val="center"/>
          </w:tcPr>
          <w:p>
            <w:pPr>
              <w:jc w:val="left"/>
              <w:ind w:firstLine="0"/>
            </w:pPr>
          </w:p>
        </w:tc>
      </w:tr>
    </w:tbl>
    <w:p/>
    <w:p>
      <w:pPr>
        <w:ind w:firstLine="425"/>
      </w:pPr>
      <w:r>
        <w:t xml:space="preserve">Итого общих обязательств: 2450000 рублей. Заёмные средства израсходованы на нужды семьи: на покупку квартиры и ремонт, что подтверждается платёжными документами и договором подряда.</w:t>
      </w:r>
    </w:p>
    <w:p>
      <w:pPr>
        <w:ind w:firstLine="425"/>
      </w:pPr>
      <w:r>
        <w:t xml:space="preserve">После прекращения семейных отношений Истцом единолично уплачено 384000 рублей.</w:t>
      </w:r>
    </w:p>
    <w:p>
      <w:pPr>
        <w:pageBreakBefore/>
      </w:pPr>
    </w:p>
    <w:p>
      <w:pPr>
        <w:jc w:val="right"/>
      </w:pPr>
      <w:r>
        <w:rPr>
          <w:b/>
        </w:rPr>
        <w:t xml:space="preserve">Приложение № 3 к документу</w:t>
      </w:r>
    </w:p>
    <w:p>
      <w:pPr>
        <w:pStyle w:val="DocTitle"/>
      </w:pPr>
      <w:r>
        <w:t xml:space="preserve">Расчёт цены иска и стоимости долей</w:t>
      </w:r>
    </w:p>
    <w:p>
      <w:pPr>
        <w:ind w:firstLine="425"/>
      </w:pPr>
      <w:r>
        <w:t xml:space="preserve">Расчёт составлен по состоянию на 25.04.2026.</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851"/>
        <w:gridCol w:w="2835"/>
        <w:gridCol w:w="2835"/>
        <w:gridCol w:w="1418"/>
        <w:gridCol w:w="1701"/>
      </w:tblGrid>
      <w:tr>
        <w:tc>
          <w:tcPr>
            <w:tcW w:w="441" w:type="pct"/>
            <w:vAlign w:val="center"/>
          </w:tcPr>
          <w:p>
            <w:pPr>
              <w:jc w:val="center"/>
              <w:ind w:firstLine="0"/>
            </w:pPr>
            <w:r>
              <w:rPr>
                <w:b/>
              </w:rPr>
              <w:t xml:space="preserve">№</w:t>
            </w:r>
          </w:p>
        </w:tc>
        <w:tc>
          <w:tcPr>
            <w:tcW w:w="1471" w:type="pct"/>
            <w:vAlign w:val="center"/>
          </w:tcPr>
          <w:p>
            <w:pPr>
              <w:jc w:val="center"/>
              <w:ind w:firstLine="0"/>
            </w:pPr>
            <w:r>
              <w:rPr>
                <w:b/>
              </w:rPr>
              <w:t xml:space="preserve">Требование</w:t>
            </w:r>
          </w:p>
        </w:tc>
        <w:tc>
          <w:tcPr>
            <w:tcW w:w="1471" w:type="pct"/>
            <w:vAlign w:val="center"/>
          </w:tcPr>
          <w:p>
            <w:pPr>
              <w:jc w:val="center"/>
              <w:ind w:firstLine="0"/>
            </w:pPr>
            <w:r>
              <w:rPr>
                <w:b/>
              </w:rPr>
              <w:t xml:space="preserve">Имущество или сумма</w:t>
            </w:r>
          </w:p>
        </w:tc>
        <w:tc>
          <w:tcPr>
            <w:tcW w:w="735" w:type="pct"/>
            <w:vAlign w:val="center"/>
          </w:tcPr>
          <w:p>
            <w:pPr>
              <w:jc w:val="center"/>
              <w:ind w:firstLine="0"/>
            </w:pPr>
            <w:r>
              <w:rPr>
                <w:b/>
              </w:rPr>
              <w:t xml:space="preserve">Доля истца</w:t>
            </w:r>
          </w:p>
        </w:tc>
        <w:tc>
          <w:tcPr>
            <w:tcW w:w="882" w:type="pct"/>
            <w:vAlign w:val="center"/>
          </w:tcPr>
          <w:p>
            <w:pPr>
              <w:jc w:val="center"/>
              <w:ind w:firstLine="0"/>
            </w:pPr>
            <w:r>
              <w:rPr>
                <w:b/>
              </w:rPr>
              <w:t xml:space="preserve">Сумма, руб.</w:t>
            </w:r>
          </w:p>
        </w:tc>
      </w:tr>
      <w:tr>
        <w:trPr>
          <w:trHeight w:val="397" w:hRule="atLeast"/>
        </w:trPr>
        <w:tc>
          <w:tcPr>
            <w:tcW w:w="441" w:type="pct"/>
            <w:vAlign w:val="center"/>
          </w:tcPr>
          <w:p>
            <w:pPr>
              <w:jc w:val="center"/>
              <w:ind w:firstLine="0"/>
            </w:pPr>
          </w:p>
        </w:tc>
        <w:tc>
          <w:tcPr>
            <w:tcW w:w="1471" w:type="pct"/>
            <w:vAlign w:val="center"/>
          </w:tcPr>
          <w:p>
            <w:pPr>
              <w:jc w:val="left"/>
              <w:ind w:firstLine="0"/>
            </w:pPr>
          </w:p>
        </w:tc>
        <w:tc>
          <w:tcPr>
            <w:tcW w:w="1471" w:type="pct"/>
            <w:vAlign w:val="center"/>
          </w:tcPr>
          <w:p>
            <w:pPr>
              <w:jc w:val="left"/>
              <w:ind w:firstLine="0"/>
            </w:pPr>
          </w:p>
        </w:tc>
        <w:tc>
          <w:tcPr>
            <w:tcW w:w="735" w:type="pct"/>
            <w:vAlign w:val="center"/>
          </w:tcPr>
          <w:p>
            <w:pPr>
              <w:jc w:val="left"/>
              <w:ind w:firstLine="0"/>
            </w:pPr>
          </w:p>
        </w:tc>
        <w:tc>
          <w:tcPr>
            <w:tcW w:w="882" w:type="pct"/>
            <w:vAlign w:val="center"/>
          </w:tcPr>
          <w:p>
            <w:pPr>
              <w:jc w:val="left"/>
              <w:ind w:firstLine="0"/>
            </w:pPr>
          </w:p>
        </w:tc>
      </w:tr>
      <w:tr>
        <w:trPr>
          <w:trHeight w:val="397" w:hRule="atLeast"/>
        </w:trPr>
        <w:tc>
          <w:tcPr>
            <w:tcW w:w="441" w:type="pct"/>
            <w:vAlign w:val="center"/>
          </w:tcPr>
          <w:p>
            <w:pPr>
              <w:jc w:val="center"/>
              <w:ind w:firstLine="0"/>
            </w:pPr>
          </w:p>
        </w:tc>
        <w:tc>
          <w:tcPr>
            <w:tcW w:w="1471" w:type="pct"/>
            <w:vAlign w:val="center"/>
          </w:tcPr>
          <w:p>
            <w:pPr>
              <w:jc w:val="left"/>
              <w:ind w:firstLine="0"/>
            </w:pPr>
          </w:p>
        </w:tc>
        <w:tc>
          <w:tcPr>
            <w:tcW w:w="1471" w:type="pct"/>
            <w:vAlign w:val="center"/>
          </w:tcPr>
          <w:p>
            <w:pPr>
              <w:jc w:val="left"/>
              <w:ind w:firstLine="0"/>
            </w:pPr>
          </w:p>
        </w:tc>
        <w:tc>
          <w:tcPr>
            <w:tcW w:w="735" w:type="pct"/>
            <w:vAlign w:val="center"/>
          </w:tcPr>
          <w:p>
            <w:pPr>
              <w:jc w:val="left"/>
              <w:ind w:firstLine="0"/>
            </w:pPr>
          </w:p>
        </w:tc>
        <w:tc>
          <w:tcPr>
            <w:tcW w:w="882" w:type="pct"/>
            <w:vAlign w:val="center"/>
          </w:tcPr>
          <w:p>
            <w:pPr>
              <w:jc w:val="left"/>
              <w:ind w:firstLine="0"/>
            </w:pPr>
          </w:p>
        </w:tc>
      </w:tr>
      <w:tr>
        <w:trPr>
          <w:trHeight w:val="397" w:hRule="atLeast"/>
        </w:trPr>
        <w:tc>
          <w:tcPr>
            <w:tcW w:w="441" w:type="pct"/>
            <w:vAlign w:val="center"/>
          </w:tcPr>
          <w:p>
            <w:pPr>
              <w:jc w:val="center"/>
              <w:ind w:firstLine="0"/>
            </w:pPr>
          </w:p>
        </w:tc>
        <w:tc>
          <w:tcPr>
            <w:tcW w:w="1471" w:type="pct"/>
            <w:vAlign w:val="center"/>
          </w:tcPr>
          <w:p>
            <w:pPr>
              <w:jc w:val="left"/>
              <w:ind w:firstLine="0"/>
            </w:pPr>
          </w:p>
        </w:tc>
        <w:tc>
          <w:tcPr>
            <w:tcW w:w="1471" w:type="pct"/>
            <w:vAlign w:val="center"/>
          </w:tcPr>
          <w:p>
            <w:pPr>
              <w:jc w:val="left"/>
              <w:ind w:firstLine="0"/>
            </w:pPr>
          </w:p>
        </w:tc>
        <w:tc>
          <w:tcPr>
            <w:tcW w:w="735" w:type="pct"/>
            <w:vAlign w:val="center"/>
          </w:tcPr>
          <w:p>
            <w:pPr>
              <w:jc w:val="left"/>
              <w:ind w:firstLine="0"/>
            </w:pPr>
          </w:p>
        </w:tc>
        <w:tc>
          <w:tcPr>
            <w:tcW w:w="882" w:type="pct"/>
            <w:vAlign w:val="center"/>
          </w:tcPr>
          <w:p>
            <w:pPr>
              <w:jc w:val="left"/>
              <w:ind w:firstLine="0"/>
            </w:pPr>
          </w:p>
        </w:tc>
      </w:tr>
      <w:tr>
        <w:trPr>
          <w:trHeight w:val="397" w:hRule="atLeast"/>
        </w:trPr>
        <w:tc>
          <w:tcPr>
            <w:tcW w:w="441" w:type="pct"/>
            <w:vAlign w:val="center"/>
          </w:tcPr>
          <w:p>
            <w:pPr>
              <w:jc w:val="center"/>
              <w:ind w:firstLine="0"/>
            </w:pPr>
          </w:p>
        </w:tc>
        <w:tc>
          <w:tcPr>
            <w:tcW w:w="1471" w:type="pct"/>
            <w:vAlign w:val="center"/>
          </w:tcPr>
          <w:p>
            <w:pPr>
              <w:jc w:val="left"/>
              <w:ind w:firstLine="0"/>
            </w:pPr>
          </w:p>
        </w:tc>
        <w:tc>
          <w:tcPr>
            <w:tcW w:w="1471" w:type="pct"/>
            <w:vAlign w:val="center"/>
          </w:tcPr>
          <w:p>
            <w:pPr>
              <w:jc w:val="left"/>
              <w:ind w:firstLine="0"/>
            </w:pPr>
          </w:p>
        </w:tc>
        <w:tc>
          <w:tcPr>
            <w:tcW w:w="735" w:type="pct"/>
            <w:vAlign w:val="center"/>
          </w:tcPr>
          <w:p>
            <w:pPr>
              <w:jc w:val="left"/>
              <w:ind w:firstLine="0"/>
            </w:pPr>
          </w:p>
        </w:tc>
        <w:tc>
          <w:tcPr>
            <w:tcW w:w="882" w:type="pct"/>
            <w:vAlign w:val="center"/>
          </w:tcPr>
          <w:p>
            <w:pPr>
              <w:jc w:val="left"/>
              <w:ind w:firstLine="0"/>
            </w:pPr>
          </w:p>
        </w:tc>
      </w:tr>
      <w:tr>
        <w:trPr>
          <w:trHeight w:val="397" w:hRule="atLeast"/>
        </w:trPr>
        <w:tc>
          <w:tcPr>
            <w:tcW w:w="441" w:type="pct"/>
            <w:vAlign w:val="center"/>
          </w:tcPr>
          <w:p>
            <w:pPr>
              <w:jc w:val="center"/>
              <w:ind w:firstLine="0"/>
            </w:pPr>
          </w:p>
        </w:tc>
        <w:tc>
          <w:tcPr>
            <w:tcW w:w="1471" w:type="pct"/>
            <w:vAlign w:val="center"/>
          </w:tcPr>
          <w:p>
            <w:pPr>
              <w:jc w:val="left"/>
              <w:ind w:firstLine="0"/>
            </w:pPr>
          </w:p>
        </w:tc>
        <w:tc>
          <w:tcPr>
            <w:tcW w:w="1471" w:type="pct"/>
            <w:vAlign w:val="center"/>
          </w:tcPr>
          <w:p>
            <w:pPr>
              <w:jc w:val="left"/>
              <w:ind w:firstLine="0"/>
            </w:pPr>
          </w:p>
        </w:tc>
        <w:tc>
          <w:tcPr>
            <w:tcW w:w="735" w:type="pct"/>
            <w:vAlign w:val="center"/>
          </w:tcPr>
          <w:p>
            <w:pPr>
              <w:jc w:val="left"/>
              <w:ind w:firstLine="0"/>
            </w:pPr>
          </w:p>
        </w:tc>
        <w:tc>
          <w:tcPr>
            <w:tcW w:w="882" w:type="pct"/>
            <w:vAlign w:val="center"/>
          </w:tcPr>
          <w:p>
            <w:pPr>
              <w:jc w:val="left"/>
              <w:ind w:firstLine="0"/>
            </w:pPr>
          </w:p>
        </w:tc>
      </w:tr>
      <w:tr>
        <w:trPr>
          <w:trHeight w:val="397" w:hRule="atLeast"/>
        </w:trPr>
        <w:tc>
          <w:tcPr>
            <w:tcW w:w="441" w:type="pct"/>
            <w:vAlign w:val="center"/>
          </w:tcPr>
          <w:p>
            <w:pPr>
              <w:jc w:val="center"/>
              <w:ind w:firstLine="0"/>
            </w:pPr>
          </w:p>
        </w:tc>
        <w:tc>
          <w:tcPr>
            <w:tcW w:w="1471" w:type="pct"/>
            <w:vAlign w:val="center"/>
          </w:tcPr>
          <w:p>
            <w:pPr>
              <w:jc w:val="left"/>
              <w:ind w:firstLine="0"/>
            </w:pPr>
          </w:p>
        </w:tc>
        <w:tc>
          <w:tcPr>
            <w:tcW w:w="1471" w:type="pct"/>
            <w:vAlign w:val="center"/>
          </w:tcPr>
          <w:p>
            <w:pPr>
              <w:jc w:val="left"/>
              <w:ind w:firstLine="0"/>
            </w:pPr>
          </w:p>
        </w:tc>
        <w:tc>
          <w:tcPr>
            <w:tcW w:w="735" w:type="pct"/>
            <w:vAlign w:val="center"/>
          </w:tcPr>
          <w:p>
            <w:pPr>
              <w:jc w:val="left"/>
              <w:ind w:firstLine="0"/>
            </w:pPr>
          </w:p>
        </w:tc>
        <w:tc>
          <w:tcPr>
            <w:tcW w:w="882" w:type="pct"/>
            <w:vAlign w:val="center"/>
          </w:tcPr>
          <w:p>
            <w:pPr>
              <w:jc w:val="left"/>
              <w:ind w:firstLine="0"/>
            </w:pPr>
          </w:p>
        </w:tc>
      </w:tr>
      <w:tr>
        <w:trPr>
          <w:trHeight w:val="397" w:hRule="atLeast"/>
        </w:trPr>
        <w:tc>
          <w:tcPr>
            <w:tcW w:w="441" w:type="pct"/>
            <w:vAlign w:val="center"/>
          </w:tcPr>
          <w:p>
            <w:pPr>
              <w:jc w:val="center"/>
              <w:ind w:firstLine="0"/>
            </w:pPr>
          </w:p>
        </w:tc>
        <w:tc>
          <w:tcPr>
            <w:tcW w:w="1471" w:type="pct"/>
            <w:vAlign w:val="center"/>
          </w:tcPr>
          <w:p>
            <w:pPr>
              <w:jc w:val="left"/>
              <w:ind w:firstLine="0"/>
            </w:pPr>
          </w:p>
        </w:tc>
        <w:tc>
          <w:tcPr>
            <w:tcW w:w="1471" w:type="pct"/>
            <w:vAlign w:val="center"/>
          </w:tcPr>
          <w:p>
            <w:pPr>
              <w:jc w:val="left"/>
              <w:ind w:firstLine="0"/>
            </w:pPr>
          </w:p>
        </w:tc>
        <w:tc>
          <w:tcPr>
            <w:tcW w:w="735" w:type="pct"/>
            <w:vAlign w:val="center"/>
          </w:tcPr>
          <w:p>
            <w:pPr>
              <w:jc w:val="left"/>
              <w:ind w:firstLine="0"/>
            </w:pPr>
          </w:p>
        </w:tc>
        <w:tc>
          <w:tcPr>
            <w:tcW w:w="882" w:type="pct"/>
            <w:vAlign w:val="center"/>
          </w:tcPr>
          <w:p>
            <w:pPr>
              <w:jc w:val="left"/>
              <w:ind w:firstLine="0"/>
            </w:pPr>
          </w:p>
        </w:tc>
      </w:tr>
      <w:tr>
        <w:trPr>
          <w:trHeight w:val="397" w:hRule="atLeast"/>
        </w:trPr>
        <w:tc>
          <w:tcPr>
            <w:tcW w:w="441" w:type="pct"/>
            <w:vAlign w:val="center"/>
          </w:tcPr>
          <w:p>
            <w:pPr>
              <w:jc w:val="center"/>
              <w:ind w:firstLine="0"/>
            </w:pPr>
          </w:p>
        </w:tc>
        <w:tc>
          <w:tcPr>
            <w:tcW w:w="1471" w:type="pct"/>
            <w:vAlign w:val="center"/>
          </w:tcPr>
          <w:p>
            <w:pPr>
              <w:jc w:val="left"/>
              <w:ind w:firstLine="0"/>
            </w:pPr>
          </w:p>
        </w:tc>
        <w:tc>
          <w:tcPr>
            <w:tcW w:w="1471" w:type="pct"/>
            <w:vAlign w:val="center"/>
          </w:tcPr>
          <w:p>
            <w:pPr>
              <w:jc w:val="left"/>
              <w:ind w:firstLine="0"/>
            </w:pPr>
          </w:p>
        </w:tc>
        <w:tc>
          <w:tcPr>
            <w:tcW w:w="735" w:type="pct"/>
            <w:vAlign w:val="center"/>
          </w:tcPr>
          <w:p>
            <w:pPr>
              <w:jc w:val="left"/>
              <w:ind w:firstLine="0"/>
            </w:pPr>
          </w:p>
        </w:tc>
        <w:tc>
          <w:tcPr>
            <w:tcW w:w="882" w:type="pct"/>
            <w:vAlign w:val="center"/>
          </w:tcPr>
          <w:p>
            <w:pPr>
              <w:jc w:val="left"/>
              <w:ind w:firstLine="0"/>
            </w:pPr>
          </w:p>
        </w:tc>
      </w:tr>
      <w:tr>
        <w:trPr>
          <w:trHeight w:val="397" w:hRule="atLeast"/>
        </w:trPr>
        <w:tc>
          <w:tcPr>
            <w:tcW w:w="441" w:type="pct"/>
            <w:vAlign w:val="center"/>
          </w:tcPr>
          <w:p>
            <w:pPr>
              <w:jc w:val="center"/>
              <w:ind w:firstLine="0"/>
            </w:pPr>
          </w:p>
        </w:tc>
        <w:tc>
          <w:tcPr>
            <w:tcW w:w="1471" w:type="pct"/>
            <w:vAlign w:val="center"/>
          </w:tcPr>
          <w:p>
            <w:pPr>
              <w:jc w:val="left"/>
              <w:ind w:firstLine="0"/>
            </w:pPr>
          </w:p>
        </w:tc>
        <w:tc>
          <w:tcPr>
            <w:tcW w:w="1471" w:type="pct"/>
            <w:vAlign w:val="center"/>
          </w:tcPr>
          <w:p>
            <w:pPr>
              <w:jc w:val="left"/>
              <w:ind w:firstLine="0"/>
            </w:pPr>
          </w:p>
        </w:tc>
        <w:tc>
          <w:tcPr>
            <w:tcW w:w="735" w:type="pct"/>
            <w:vAlign w:val="center"/>
          </w:tcPr>
          <w:p>
            <w:pPr>
              <w:jc w:val="left"/>
              <w:ind w:firstLine="0"/>
            </w:pPr>
          </w:p>
        </w:tc>
        <w:tc>
          <w:tcPr>
            <w:tcW w:w="882" w:type="pct"/>
            <w:vAlign w:val="center"/>
          </w:tcPr>
          <w:p>
            <w:pPr>
              <w:jc w:val="left"/>
              <w:ind w:firstLine="0"/>
            </w:pPr>
          </w:p>
        </w:tc>
      </w:tr>
      <w:tr>
        <w:trPr>
          <w:trHeight w:val="397" w:hRule="atLeast"/>
        </w:trPr>
        <w:tc>
          <w:tcPr>
            <w:tcW w:w="441" w:type="pct"/>
            <w:vAlign w:val="center"/>
          </w:tcPr>
          <w:p>
            <w:pPr>
              <w:jc w:val="center"/>
              <w:ind w:firstLine="0"/>
            </w:pPr>
          </w:p>
        </w:tc>
        <w:tc>
          <w:tcPr>
            <w:tcW w:w="1471" w:type="pct"/>
            <w:vAlign w:val="center"/>
          </w:tcPr>
          <w:p>
            <w:pPr>
              <w:jc w:val="left"/>
              <w:ind w:firstLine="0"/>
            </w:pPr>
          </w:p>
        </w:tc>
        <w:tc>
          <w:tcPr>
            <w:tcW w:w="1471" w:type="pct"/>
            <w:vAlign w:val="center"/>
          </w:tcPr>
          <w:p>
            <w:pPr>
              <w:jc w:val="left"/>
              <w:ind w:firstLine="0"/>
            </w:pPr>
          </w:p>
        </w:tc>
        <w:tc>
          <w:tcPr>
            <w:tcW w:w="735" w:type="pct"/>
            <w:vAlign w:val="center"/>
          </w:tcPr>
          <w:p>
            <w:pPr>
              <w:jc w:val="left"/>
              <w:ind w:firstLine="0"/>
            </w:pPr>
          </w:p>
        </w:tc>
        <w:tc>
          <w:tcPr>
            <w:tcW w:w="882" w:type="pct"/>
            <w:vAlign w:val="center"/>
          </w:tcPr>
          <w:p>
            <w:pPr>
              <w:jc w:val="left"/>
              <w:ind w:firstLine="0"/>
            </w:pPr>
          </w:p>
        </w:tc>
      </w:tr>
    </w:tbl>
    <w:p/>
    <w:p>
      <w:pPr>
        <w:ind w:firstLine="425"/>
      </w:pPr>
      <w:r>
        <w:t xml:space="preserve">Итого цена иска: 3450000 рублей. Государственная пошлина: 25450 рублей.</w:t>
      </w:r>
    </w:p>
    <w:p>
      <w:pPr>
        <w:ind w:firstLine="425"/>
      </w:pPr>
      <w:r>
        <w:t xml:space="preserve">Размер денежной компенсации за превышение стоимости переданного имущества: 620000 рублей.</w:t>
      </w:r>
    </w:p>
    <w:p>
      <w:pPr>
        <w:ind w:firstLine="425"/>
      </w:pPr>
      <w:r>
        <w:t xml:space="preserve">Расчёт составил и подписал Истец — Иванов Иван Иванович.</w:t>
      </w:r>
    </w:p>
    <w:p>
      <w:pPr>
        <w:pStyle w:val="ClauseHeading"/>
      </w:pPr>
      <w:r>
        <w:rPr>
          <w:b/>
        </w:rPr>
        <w:t xml:space="preserve">20. Реквизиты и подпись</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Истец</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Истец ____________ / Иванов И. И.</w:t>
            </w:r>
          </w:p>
        </w:tc>
        <w:tc>
          <w:tcPr>
            <w:tcW w:w="4820" w:type="dxa"/>
          </w:tcPr>
          <w:p/>
        </w:tc>
      </w:tr>
    </w:tbl>
    <w:p/>
    <w:p>
      <w:pPr>
        <w:spacing w:before="360"/>
        <w:pBdr>
          <w:top w:val="single" w:sz="4" w:space="6" w:color="CCCCCC"/>
        </w:pBdr>
        <w:jc w:val="left"/>
      </w:pPr>
      <w:r>
        <w:rPr>
          <w:i/>
          <w:sz w:val="16"/>
          <w:color w:val="808080"/>
        </w:rPr>
        <w:t xml:space="preserve">Образец заполнения «Исковое заявление о разделе имущества супругов» с сайта primadoc.ru. Документ, заполненный под вашу ситуацию, собирается в конструкторе: https://primadoc.ru/doc/iskovoe-zayavlenie-o-razdele-imuschestva-suprugov</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Исковое заявление о разделе имущества супругов — образец заполнения</dc:title>
  <dc:creator>Примадок</dc:creator>
  <dcterms:created xsi:type="dcterms:W3CDTF">2026-09-11T05:24:36Z</dcterms:created>
</cp:coreProperties>
</file>