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Инвойс (коммерческий счёт для внешнеэкономической сделки)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Стороны сделки и реквизиты инвойса</w:t>
      </w:r>
    </w:p>
    <w:p>
      <w:pPr>
        <w:ind w:firstLine="425"/>
      </w:pPr>
      <w:r>
        <w:t xml:space="preserve">ИНВОЙС (INVOICE) № EXP-2026/114 от 11.09.2026.</w:t>
      </w:r>
    </w:p>
    <w:p>
      <w:pPr>
        <w:ind w:firstLine="425"/>
      </w:pPr>
      <w:r>
        <w:t xml:space="preserve">Продавец (Seller): ООО «Уралэкспорт» / Uralexport LLC, ИНН 6658123456. Адрес: 620014, Россия, г. Екатеринбург, ул. Радищева, д. 28.</w:t>
      </w:r>
    </w:p>
    <w:p>
      <w:pPr>
        <w:ind w:firstLine="425"/>
      </w:pPr>
      <w:r>
        <w:t xml:space="preserve">Покупатель (Buyer): Zhengzhou Metal Trade Co., Ltd. Адрес: No. 88 Jinshui Road, Zhengzhou, Henan, 450000, China.</w:t>
      </w:r>
    </w:p>
    <w:p>
      <w:pPr>
        <w:ind w:firstLine="425"/>
      </w:pPr>
      <w:r>
        <w:t xml:space="preserve">Грузополучатель (Consignee): Qingdao Port Logistics Co., Ltd, Warehouse 7, Qingdao, China. Грузополучателя указывают отдельно, когда товар идёт на склад третьего лица или на адрес филиала покупателя: таможня и перевозчик ориентируются именно на эту строку.______Грузополучатель совпадает с покупателем.</w:t>
      </w:r>
    </w:p>
    <w:p>
      <w:pPr>
        <w:ind w:firstLine="425"/>
      </w:pPr>
      <w:r>
        <w:t xml:space="preserve">Основание поставки: контракт № 12/RU-CN от 03.03.2026. Уникальный номер контракта в банке: 26030001/1000/0000/1/1.</w:t>
      </w:r>
    </w:p>
    <w:p>
      <w:pPr>
        <w:ind w:firstLine="425"/>
      </w:pPr>
      <w:r>
        <w:t xml:space="preserve">Валюта расчётов: USD.</w:t>
      </w:r>
    </w:p>
    <w:p>
      <w:pPr>
        <w:ind w:firstLine="425"/>
      </w:pPr>
      <w:r>
        <w:t xml:space="preserve">Единой обязательной формы инвойса нет ни в российском законодательстве, ни в праве ЕАЭС: есть набор сведений, который ожидают таможня, банк и перевозчик. Основой сделки остаётся договор купли-продажи (ст. 454 ГК РФ), а инвойс подтверждает его исполнение по конкретной партии.</w:t>
      </w:r>
    </w:p>
    <w:p>
      <w:pPr>
        <w:ind w:firstLine="425"/>
      </w:pPr>
      <w:r>
        <w:t xml:space="preserve">Номер и дата инвойса должны быть сквозными и одинаковыми во всех документах партии: в декларации, транспортных документах, упаковочном листе и платёжном поручении.</w:t>
      </w:r>
    </w:p>
    <w:p>
      <w:pPr>
        <w:pStyle w:val="ClauseHeading"/>
      </w:pPr>
      <w:r>
        <w:rPr>
          <w:b/>
        </w:rPr>
        <w:t xml:space="preserve">Вид инвойса и направление сделки</w:t>
      </w:r>
    </w:p>
    <w:p>
      <w:pPr>
        <w:ind w:firstLine="425"/>
      </w:pPr>
      <w:r>
        <w:t xml:space="preserve">Настоящий документ является коммерческим инвойсом: товар отгружается и подлежит оплате на указанных ниже условиях. Именно коммерческий инвойс служит основой для расчёта таможенной стоимости.Настоящий документ является проформой-инвойсом. Это предварительный счёт: он подтверждает намерение поставить товар на указанных условиях, используется для получения предоплаты, оформления аккредитива и подготовки разрешительных документов. Проформа не заменяет коммерческий инвойс при таможенном оформлении — после отгрузки выставляется окончательный инвойс.Поставка безвозмездная: образцы, рекламные материалы, бесплатная замена или возврат. Товар оплате не подлежит, а указанная стоимость служит исключительно для таможенных целей и страхования. Об этом прямо пишут в инвойсе формулировкой вида «Value for customs purposes only, goods supplied free of charge» — без такой оговорки безвозмездная поставка выглядит как обычная продажа, по которой не поступила выручка.</w:t>
      </w:r>
    </w:p>
    <w:p>
      <w:pPr>
        <w:ind w:firstLine="425"/>
      </w:pPr>
      <w:r>
        <w:t xml:space="preserve">Направление: экспорт из Российской Федерации. Инвойс входит в комплект документов, которым подтверждают применение нулевой ставки НДС при экспорте, наряду с контрактом и транспортными документами с отметками таможенного органа.Направление: импорт в Российскую Федерацию. Инвойс иностранного поставщика служит основой для определения таможенной стоимости и для расчёта НДС и пошлин, уплачиваемых при ввозе.Направление: поставка внутри Евразийского экономического союза. Таможенное декларирование не требуется, но инвойс и товаросопроводительные документы нужны для подтверждения косвенных налогов и для заявления о ввозе товаров, которое подаёт покупатель.</w:t>
      </w:r>
    </w:p>
    <w:p>
      <w:pPr>
        <w:pStyle w:val="ClauseHeading"/>
      </w:pPr>
      <w:r>
        <w:rPr>
          <w:b/>
        </w:rPr>
        <w:t xml:space="preserve">Товары, количество и стоимость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48600 USD.</w:t>
      </w:r>
    </w:p>
    <w:p>
      <w:pPr>
        <w:ind w:firstLine="425"/>
      </w:pPr>
      <w:r>
        <w:t xml:space="preserve">Сумма прописью на языке контракта: Forty-eight thousand six hundred US dollars 00 cents.</w:t>
      </w:r>
    </w:p>
    <w:p>
      <w:pPr>
        <w:ind w:firstLine="425"/>
      </w:pPr>
      <w:r>
        <w:t xml:space="preserve">Количество и цена товара определяются договором (ст. 465 ГК РФ) (ст. 485 ГК РФ) и переносятся в инвойс без изменений. Расхождение между контрактом, спецификацией и инвойсом — прямое основание для запроса документов таможней.</w:t>
      </w:r>
    </w:p>
    <w:p>
      <w:pPr>
        <w:ind w:firstLine="425"/>
      </w:pPr>
      <w:r>
        <w:t xml:space="preserve">Код ТН ВЭД и страна происхождения указываются по каждой позиции. От кода зависит ставка пошлины и необходимость разрешительных документов, от страны происхождения — право на тарифную преференцию.</w:t>
      </w:r>
    </w:p>
    <w:p>
      <w:pPr>
        <w:ind w:firstLine="425"/>
      </w:pPr>
      <w:r>
        <w:t xml:space="preserve">Грузовых мест: 24. Вес брутто: 12 480 кг. Вес нетто: 11 920 кг.</w:t>
      </w:r>
    </w:p>
    <w:p>
      <w:pPr>
        <w:ind w:firstLine="425"/>
      </w:pPr>
      <w:r>
        <w:t xml:space="preserve">Вид упаковки: деревянные поддоны, обрешётка, стретч-плёнка. Маркировка мест: EXP-2026/114, 1/24 … 24/24.</w:t>
      </w:r>
    </w:p>
    <w:p>
      <w:pPr>
        <w:ind w:firstLine="425"/>
      </w:pPr>
      <w:r>
        <w:t xml:space="preserve">Вес и число мест должны совпадать с упаковочным листом и транспортным документом до килограмма и до места: расхождение здесь — самая частая причина досмотра.</w:t>
      </w:r>
    </w:p>
    <w:p>
      <w:pPr>
        <w:pStyle w:val="ClauseHeading"/>
      </w:pPr>
      <w:r>
        <w:rPr>
          <w:b/>
        </w:rPr>
        <w:t xml:space="preserve">Заявления продавца и подпись</w:t>
      </w:r>
    </w:p>
    <w:p>
      <w:pPr>
        <w:ind w:firstLine="425"/>
      </w:pPr>
      <w:r>
        <w:t xml:space="preserve">Продавец подтверждает, что сведения, указанные в настоящем инвойсе, полны и достоверны, товар соответствует условиям контракта и свободен от прав третьих лиц.</w:t>
      </w:r>
    </w:p>
    <w:p>
      <w:pPr>
        <w:ind w:firstLine="425"/>
      </w:pPr>
      <w:r>
        <w:t xml:space="preserve">Товар поставляется безвозмездно. Указанная стоимость применяется исключительно для таможенных и страховых целей и оплате не подлежит.</w:t>
      </w:r>
    </w:p>
    <w:p>
      <w:pPr>
        <w:ind w:firstLine="425"/>
      </w:pPr>
      <w:r>
        <w:t xml:space="preserve">Инвойс составлен на языке контракта. При необходимости стороны используют двуязычный вариант: расхождения в переводе толкуются в пользу текста на языке, указанном в контракте как приоритетный.</w:t>
      </w:r>
    </w:p>
    <w:p>
      <w:pPr>
        <w:ind w:firstLine="425"/>
      </w:pPr>
      <w:r>
        <w:t xml:space="preserve">Для российского продавца инвойс одновременно служит первичным учётным документом по сделке и должен содержать обязательные реквизиты (ст. 9 402-ФЗ): наименование документа, дату, наименование экономического субъекта, содержание операции, натуральное и денежное измерение, должность и подпись ответственного лица.</w:t>
      </w:r>
    </w:p>
    <w:p>
      <w:pPr>
        <w:ind w:firstLine="425"/>
      </w:pPr>
      <w:r>
        <w:t xml:space="preserve">директор по внешнеэкономической деятельности Гордеев Антон Львович ________________</w:t>
      </w:r>
    </w:p>
    <w:p>
      <w:pPr>
        <w:ind w:firstLine="425"/>
      </w:pPr>
      <w:r>
        <w:t xml:space="preserve">Дата ______________ М.П.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Упаковочный лист к инвойсу</w:t>
      </w:r>
    </w:p>
    <w:p>
      <w:pPr>
        <w:ind w:firstLine="425"/>
      </w:pPr>
      <w:r>
        <w:t xml:space="preserve">Packing list к инвойсу № EXP-2026/114 от 11.09.2026. Контракт: контракт № 12/RU-CN от 03.03.2026.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2454"/>
        <w:gridCol w:w="1227"/>
        <w:gridCol w:w="876"/>
        <w:gridCol w:w="1052"/>
        <w:gridCol w:w="1402"/>
        <w:gridCol w:w="175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места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в месте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Вес нетто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Вес брутто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Габариты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Маркировка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Упаковочный лист не дублирует инвойс, а раскладывает партию по грузовым местам. Его сверяют с инвойсом по трём величинам: общее количество товара, число мест, вес брутто и нетто.</w:t>
      </w:r>
    </w:p>
    <w:p>
      <w:pPr>
        <w:ind w:firstLine="425"/>
      </w:pPr>
      <w:r>
        <w:t xml:space="preserve">Всего мест: 24. Вес брутто: 12 480 кг. Вес нетто: 11 920 кг.</w:t>
      </w:r>
    </w:p>
    <w:p>
      <w:pPr>
        <w:ind w:firstLine="425"/>
      </w:pPr>
      <w:r>
        <w:t xml:space="preserve">Маркировку наносят на каждое место в формате «номер инвойса, порядковый номер места из общего числа». Это единственный способ быстро найти недостающую коробку при досмотре.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Комплект документов по поставке</w:t>
      </w:r>
    </w:p>
    <w:p>
      <w:pPr>
        <w:ind w:firstLine="425"/>
      </w:pPr>
      <w:r>
        <w:t xml:space="preserve">Опись документов к инвойсу № EXP-2026/114 от 11.09.2026.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142"/>
        <w:gridCol w:w="2410"/>
        <w:gridCol w:w="1339"/>
        <w:gridCol w:w="2945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</w:t>
            </w:r>
          </w:p>
        </w:tc>
        <w:tc>
          <w:tcPr>
            <w:tcW w:w="15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комплект обычно входят контракт со спецификацией и дополнительными соглашениями, инвойс, упаковочный лист, транспортный документ — CMR, коносамент, авианакладная или железнодорожная накладная, сертификат происхождения, при необходимости сертификат соответствия, фитосанитарный или ветеринарный сертификат, экспортная декларация, страховой полис при условиях CIF и CIP.</w:t>
      </w:r>
    </w:p>
    <w:p>
      <w:pPr>
        <w:ind w:firstLine="425"/>
      </w:pPr>
      <w:r>
        <w:t xml:space="preserve">Комплект собирают до отгрузки, а не по дороге: недостающий сертификат происхождения лишает покупателя тарифной преференции, а его получение задним числом возможно не всегда.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«Инвойс (коммерческий счёт для внешнеэкономической сделки)» с сайта primadoc.ru. Документ, заполненный под вашу ситуацию, собирается в конструкторе: https://primadoc.ru/doc/invoys-kommercheskiy-schet-dlya-vneshneekonomicheskoy-sdelki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Инвойс (коммерческий счёт для внешнеэкономической сделки) — образец заполнения</dc:title>
  <dc:creator>Примадок</dc:creator>
  <dcterms:created xsi:type="dcterms:W3CDTF">2026-09-12T08:04:46Z</dcterms:created>
</cp:coreProperties>
</file>