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Инвентарная карточка учёта объекта основных средств (форма ОС-6)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Организация и объект</w:t>
      </w:r>
    </w:p>
    <w:p>
      <w:pPr>
        <w:ind w:firstLine="425"/>
      </w:pPr>
      <w:r>
        <w:t xml:space="preserve">ИНВЕНТАРНАЯ КАРТОЧКА УЧЁТА ОБЪЕКТА ОСНОВНЫХ СРЕДСТВ № 00318 от 14.04.2026.</w:t>
      </w:r>
    </w:p>
    <w:p>
      <w:pPr>
        <w:ind w:firstLine="425"/>
      </w:pPr>
      <w:r>
        <w:t xml:space="preserve">Унифицированная форма № ОС-6, форма по ОКУД 0306005, утверждена постановлением Госкомстата России от 21.01.2003 № 7.</w:t>
      </w:r>
    </w:p>
    <w:p>
      <w:pPr>
        <w:ind w:firstLine="425"/>
      </w:pPr>
      <w:r>
        <w:t xml:space="preserve">Организация: АО «Уральский приборный завод», ИНН 6659104477, код по ОКПО 07510334. Подразделение: цех № 3, участок механической обработки.</w:t>
      </w:r>
    </w:p>
    <w:p>
      <w:pPr>
        <w:ind w:firstLine="425"/>
      </w:pPr>
      <w:r>
        <w:t xml:space="preserve">Объект: станок токарно-винторезный 16К20. Инвентарный номер: 010318. Заводской номер: 1620-Т-99417.</w:t>
      </w:r>
    </w:p>
    <w:p>
      <w:pPr>
        <w:ind w:firstLine="425"/>
      </w:pPr>
      <w:r>
        <w:t xml:space="preserve">Код по ОКОФ: 330.28.41.22. Амортизационная группа: пятая, свыше 7 до 10 лет включительно.</w:t>
      </w:r>
    </w:p>
    <w:p>
      <w:pPr>
        <w:ind w:firstLine="425"/>
      </w:pPr>
      <w:r>
        <w:t xml:space="preserve">Объект недвижимости. Кадастровый номер и характеристики: 66:41:0303015:1204, площадь 1 480,6 кв. м, 2 этажа. Право собственности подлежит государственной регистрации, но принятие объекта к бухгалтерскому учёту от факта регистрации не зависит.Транспортное средство. Идентификационные данные: VIN X9F3ADE1099771205, ГАЗ-A21R32, госномер У 719 ОР 96. Отдельно контролируйте регистрацию в органах ГИБДД или Гостехнадзора: с даты регистрации возникает обязанность по транспортному налогу.Машины и оборудование. Инвентарным объектом признаётся комплекс конструктивно сочленённых предметов, выполняющих свою функцию только в составе комплекса.Инвентарь, инструмент и прочие объекты. Если части объекта имеют существенно разный срок службы, каждую из них учитывают как самостоятельный инвентарный объект.</w:t>
      </w:r>
    </w:p>
    <w:p>
      <w:pPr>
        <w:ind w:firstLine="425"/>
      </w:pPr>
      <w:r>
        <w:t xml:space="preserve">Краткая индивидуальная характеристика: наибольший диаметр обработки над станиной 400 мм, РМЦ 1000 мм, мощность главного привода 11 кВт, комплектация: патрон трёхкулачковый, люнет подвижный.</w:t>
      </w:r>
    </w:p>
    <w:p>
      <w:pPr>
        <w:ind w:firstLine="425"/>
      </w:pPr>
      <w:r>
        <w:t xml:space="preserve">Содержание драгоценных металлов и камней: серебро 4,2 г в контактных группах пускателя.</w:t>
      </w:r>
    </w:p>
    <w:p>
      <w:pPr>
        <w:ind w:firstLine="425"/>
      </w:pPr>
      <w:r>
        <w:t xml:space="preserve">Карточку ведут в бухгалтерии в одном экземпляре на каждый инвентарный объект. Она является регистром бухгалтерского учёта, а формы регистров утверждает руководитель (ст. 10 402-ФЗ).</w:t>
      </w:r>
    </w:p>
    <w:p>
      <w:pPr>
        <w:pStyle w:val="ClauseHeading"/>
      </w:pPr>
      <w:r>
        <w:rPr>
          <w:b/>
        </w:rPr>
        <w:t xml:space="preserve">Принятие к учёту и оценка</w:t>
      </w:r>
    </w:p>
    <w:p>
      <w:pPr>
        <w:ind w:firstLine="425"/>
      </w:pPr>
      <w:r>
        <w:t xml:space="preserve">Объект принят к бухгалтерскому учёту 14.04.2026 на основании документа: акт о приёме-передаче объекта основных средств от 14.04.2026 № 11.</w:t>
      </w:r>
    </w:p>
    <w:p>
      <w:pPr>
        <w:ind w:firstLine="425"/>
      </w:pPr>
      <w:r>
        <w:t xml:space="preserve">Год выпуска или постройки: 2025. Сведения о прежнем владельце и сроке эксплуатации до принятия к учёту: ООО «Станкоторг», объект новый, в эксплуатации не был.</w:t>
      </w:r>
    </w:p>
    <w:p>
      <w:pPr>
        <w:ind w:firstLine="425"/>
      </w:pPr>
      <w:r>
        <w:t xml:space="preserve">Первоначальная стоимость: 1840000 руб. Ликвидационная стоимость: 90000 руб.</w:t>
      </w:r>
    </w:p>
    <w:p>
      <w:pPr>
        <w:ind w:firstLine="425"/>
      </w:pPr>
      <w:r>
        <w:t xml:space="preserve">Срок полезного использования: 96 месяцев.</w:t>
      </w:r>
    </w:p>
    <w:p>
      <w:pPr>
        <w:ind w:firstLine="425"/>
      </w:pPr>
      <w:r>
        <w:t xml:space="preserve">Амортизация начисляется линейным способом.Амортизация начисляется способом уменьшаемого остатка.Амортизация начисляется пропорционально количеству продукции или объёму работ.</w:t>
      </w:r>
    </w:p>
    <w:p>
      <w:pPr>
        <w:ind w:firstLine="425"/>
      </w:pPr>
      <w:r>
        <w:t xml:space="preserve">Начислено амортизации на дату заполнения: 172500 руб. Балансовая стоимость: 1667500 руб.</w:t>
      </w:r>
    </w:p>
    <w:p>
      <w:pPr>
        <w:ind w:firstLine="425"/>
      </w:pPr>
      <w:r>
        <w:t xml:space="preserve">С 2022 года основные средства учитывают по стандарту ФСБУ 6/2020, а затраты на их приобретение и создание — по ФСБУ 26/2020 «Капитальные вложения». Ликвидационная стоимость — обязательный элемент амортизации, и амортизацию прекращают начислять, когда балансовая стоимость сравнялась с ликвидационной.</w:t>
      </w:r>
    </w:p>
    <w:p>
      <w:pPr>
        <w:ind w:firstLine="425"/>
      </w:pPr>
      <w:r>
        <w:t xml:space="preserve">Срок полезного использования, ликвидационную стоимость и способ начисления амортизации проверяют в конце каждого года и при изменении условий использования объекта. Изменение этих элементов отражают как изменение оценочных значений — перспективно, без пересчёта прошлых периодов.</w:t>
      </w:r>
    </w:p>
    <w:p>
      <w:pPr>
        <w:pStyle w:val="ClauseHeading"/>
      </w:pPr>
      <w:r>
        <w:rPr>
          <w:b/>
        </w:rPr>
        <w:t xml:space="preserve">Объект приобретён по договору</w:t>
      </w:r>
    </w:p>
    <w:p>
      <w:pPr>
        <w:ind w:firstLine="425"/>
      </w:pPr>
      <w:r>
        <w:t xml:space="preserve">Объект приобретён по возмездному договору.</w:t>
      </w:r>
    </w:p>
    <w:p>
      <w:pPr>
        <w:ind w:firstLine="425"/>
      </w:pPr>
      <w:r>
        <w:t xml:space="preserve">В первоначальную стоимость включают цену приобретения, невозмещаемые налоги и пошлины, затраты на доставку, монтаж, пусконаладочные работы и приведение объекта в состояние, пригодное к использованию.</w:t>
      </w:r>
    </w:p>
    <w:p>
      <w:pPr>
        <w:ind w:firstLine="425"/>
      </w:pPr>
      <w:r>
        <w:t xml:space="preserve">В налоговом учёте первоначальная стоимость формируется как сумма расходов на приобретение, сооружение, доставку и доведение до состояния пригодности, за исключением возмещаемого налога на добавленную стоимость (ст. 257 НК РФ).</w:t>
      </w:r>
    </w:p>
    <w:p>
      <w:pPr>
        <w:ind w:firstLine="425"/>
      </w:pPr>
      <w:r>
        <w:t xml:space="preserve">Проценты по кредиту, взятому на покупку, в стоимость не включают, кроме случая, когда объект признаётся инвестиционным активом и организация не применяет упрощённые способы учёта.</w:t>
      </w:r>
    </w:p>
    <w:p>
      <w:pPr>
        <w:ind w:firstLine="425"/>
      </w:pPr>
      <w:r>
        <w:t xml:space="preserve">Дата принятия к учёту — это дата готовности объекта к использованию, а не дата оплаты и не дата поступления на склад.</w:t>
      </w:r>
    </w:p>
    <w:p>
      <w:pPr>
        <w:pStyle w:val="ClauseHeading"/>
      </w:pPr>
      <w:r>
        <w:rPr>
          <w:b/>
        </w:rPr>
        <w:t xml:space="preserve">Объект построен или изготовлен</w:t>
      </w:r>
    </w:p>
    <w:p>
      <w:pPr>
        <w:ind w:firstLine="425"/>
      </w:pPr>
      <w:r>
        <w:t xml:space="preserve">Объект создан собственными силами организации или построен подрядным способом.</w:t>
      </w:r>
    </w:p>
    <w:p>
      <w:pPr>
        <w:ind w:firstLine="425"/>
      </w:pPr>
      <w:r>
        <w:t xml:space="preserve">Первоначальную стоимость формируют из фактических затрат на создание: стоимости материалов, оплаты труда с взносами, услуг подрядчиков, амортизации использованной техники, платы за подключение и разрешительные процедуры.</w:t>
      </w:r>
    </w:p>
    <w:p>
      <w:pPr>
        <w:ind w:firstLine="425"/>
      </w:pPr>
      <w:r>
        <w:t xml:space="preserve">Затраты собирают в составе капитальных вложений и переносят в стоимость объекта в момент, когда объект готов к использованию в запланированных целях.</w:t>
      </w:r>
    </w:p>
    <w:p>
      <w:pPr>
        <w:ind w:firstLine="425"/>
      </w:pPr>
      <w:r>
        <w:t xml:space="preserve">Стоимость объекта собственного производства в налоговом учёте определяется по правилам оценки готовой продукции с учётом особенностей, установленных для амортизируемого имущества (ст. 257 НК РФ).</w:t>
      </w:r>
    </w:p>
    <w:p>
      <w:pPr>
        <w:ind w:firstLine="425"/>
      </w:pPr>
      <w:r>
        <w:t xml:space="preserve">К карточке прикладывают акт приёмки законченного строительством объекта, разрешение на ввод в эксплуатацию и техническую документацию.</w:t>
      </w:r>
    </w:p>
    <w:p>
      <w:pPr>
        <w:pStyle w:val="ClauseHeading"/>
      </w:pPr>
      <w:r>
        <w:rPr>
          <w:b/>
        </w:rPr>
        <w:t xml:space="preserve">Объект получен как вклад в уставный капитал</w:t>
      </w:r>
    </w:p>
    <w:p>
      <w:pPr>
        <w:ind w:firstLine="425"/>
      </w:pPr>
      <w:r>
        <w:t xml:space="preserve">Объект внесён участником в качестве вклада в уставный капитал.</w:t>
      </w:r>
    </w:p>
    <w:p>
      <w:pPr>
        <w:ind w:firstLine="425"/>
      </w:pPr>
      <w:r>
        <w:t xml:space="preserve">Денежная оценка неденежного вклада утверждается решением общего собрания участников и должна опираться на отчёт независимого оценщика.</w:t>
      </w:r>
    </w:p>
    <w:p>
      <w:pPr>
        <w:ind w:firstLine="425"/>
      </w:pPr>
      <w:r>
        <w:t xml:space="preserve">К карточке прикладывают решение об увеличении уставного капитала или об учреждении общества, отчёт оценщика и акт приёма-передачи имущества.</w:t>
      </w:r>
    </w:p>
    <w:p>
      <w:pPr>
        <w:ind w:firstLine="425"/>
      </w:pPr>
      <w:r>
        <w:t xml:space="preserve">Передающая сторона восстанавливает ранее принятый к вычету налог на добавленную стоимость пропорционально остаточной стоимости, а получающая может принять эту сумму к вычету при соблюдении условий.</w:t>
      </w:r>
    </w:p>
    <w:p>
      <w:pPr>
        <w:pStyle w:val="ClauseHeading"/>
      </w:pPr>
      <w:r>
        <w:rPr>
          <w:b/>
        </w:rPr>
        <w:t xml:space="preserve">Объект получен безвозмездно</w:t>
      </w:r>
    </w:p>
    <w:p>
      <w:pPr>
        <w:ind w:firstLine="425"/>
      </w:pPr>
      <w:r>
        <w:t xml:space="preserve">Объект получен безвозмездно.</w:t>
      </w:r>
    </w:p>
    <w:p>
      <w:pPr>
        <w:ind w:firstLine="425"/>
      </w:pPr>
      <w:r>
        <w:t xml:space="preserve">Стоимость определяют по справедливой рыночной оценке на дату получения и подтверждают документально: заключением оценщика или сведениями о ценах на аналогичные объекты.</w:t>
      </w:r>
    </w:p>
    <w:p>
      <w:pPr>
        <w:ind w:firstLine="425"/>
      </w:pPr>
      <w:r>
        <w:t xml:space="preserve">Стоимость безвозмездно полученного имущества признаётся внереализационным доходом получателя (ст. 250 НК РФ).</w:t>
      </w:r>
    </w:p>
    <w:p>
      <w:pPr>
        <w:ind w:firstLine="425"/>
      </w:pPr>
      <w:r>
        <w:t xml:space="preserve">Исключения из этого правила ограничены и требуют точного соответствия условиям: в частности, по имуществу, полученному от участника с достаточной долей участия, при условии что объект не передаётся третьим лицам в течение года. Основание освобождения проверяйте по статье 251 Налогового кодекса на дату получения.</w:t>
      </w:r>
    </w:p>
    <w:p>
      <w:pPr>
        <w:ind w:firstLine="425"/>
      </w:pPr>
      <w:r>
        <w:t xml:space="preserve">Дарение в отношениях между коммерческими организациями запрещено, за исключением обычных подарков небольшой стоимости, поэтому основание безвозмездной передачи проверяйте заранее (ст. 575 ГК РФ).</w:t>
      </w:r>
    </w:p>
    <w:p>
      <w:pPr>
        <w:pStyle w:val="ClauseHeading"/>
      </w:pPr>
      <w:r>
        <w:rPr>
          <w:b/>
        </w:rPr>
        <w:t xml:space="preserve">Объект получен в лизинг</w:t>
      </w:r>
    </w:p>
    <w:p>
      <w:pPr>
        <w:ind w:firstLine="425"/>
      </w:pPr>
      <w:r>
        <w:t xml:space="preserve">Объект получен по договору финансовой аренды и учитывается организацией.</w:t>
      </w:r>
    </w:p>
    <w:p>
      <w:pPr>
        <w:ind w:firstLine="425"/>
      </w:pPr>
      <w:r>
        <w:t xml:space="preserve">Реквизиты договора: договор финансовой аренды от 02.02.2026 № Л-4419, лизингодатель АО «Промлизинг».</w:t>
      </w:r>
    </w:p>
    <w:p>
      <w:pPr>
        <w:ind w:firstLine="425"/>
      </w:pPr>
      <w:r>
        <w:t xml:space="preserve">С 2022 года арендатор признаёт право пользования активом и обязательство по аренде по стандарту ФСБУ 25/2018 «Бухгалтерский учёт аренды». Право пользования активом амортизируют так же, как собственные основные средства соответствующего вида.</w:t>
      </w:r>
    </w:p>
    <w:p>
      <w:pPr>
        <w:ind w:firstLine="425"/>
      </w:pPr>
      <w:r>
        <w:t xml:space="preserve">Если договор предусматривает переход права собственности, срок амортизации права пользования устанавливают равным сроку полезного использования самого объекта, а не сроку договора.</w:t>
      </w:r>
    </w:p>
    <w:p>
      <w:pPr>
        <w:ind w:firstLine="425"/>
      </w:pPr>
      <w:r>
        <w:t xml:space="preserve">По договору финансовой аренды арендодатель обязуется приобрести указанное арендатором имущество у определённого им продавца и предоставить его во временное владение и пользование (ст. 665 ГК РФ).</w:t>
      </w:r>
    </w:p>
    <w:p>
      <w:pPr>
        <w:ind w:firstLine="425"/>
      </w:pPr>
      <w:r>
        <w:t xml:space="preserve">В карточке отдельно отслеживайте выкупную стоимость и момент перехода права собственности: с этой даты меняется и основание учёта, и порядок налогообложения.</w:t>
      </w:r>
    </w:p>
    <w:p>
      <w:pPr>
        <w:pStyle w:val="ClauseHeading"/>
      </w:pPr>
      <w:r>
        <w:rPr>
          <w:b/>
        </w:rPr>
        <w:t xml:space="preserve">Движение объекта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530"/>
        <w:gridCol w:w="1071"/>
        <w:gridCol w:w="1224"/>
        <w:gridCol w:w="1989"/>
        <w:gridCol w:w="1989"/>
        <w:gridCol w:w="1377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лицо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руб.</w:t>
            </w: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  <w:r>
              <w:t xml:space="preserve">01.01.2026</w:t>
            </w: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таблицу вносят приём к учёту, ввод в эксплуатацию, внутренние перемещения между подразделениями, передачу другому материально ответственному лицу, консервацию и расконсервацию, выбытие.</w:t>
      </w:r>
    </w:p>
    <w:p>
      <w:pPr>
        <w:ind w:firstLine="425"/>
      </w:pPr>
      <w:r>
        <w:t xml:space="preserve">Строку добавляют в день события, а не в конце месяца: карточка ценна именно тем, что показывает, где объект находился в конкретную дату.</w:t>
      </w:r>
    </w:p>
    <w:p>
      <w:pPr>
        <w:ind w:firstLine="425"/>
      </w:pPr>
      <w:r>
        <w:t xml:space="preserve">Материально ответственное лицо: начальник цеха № 3 Пестов Виктор Сергеевич.</w:t>
      </w:r>
    </w:p>
    <w:p>
      <w:pPr>
        <w:ind w:firstLine="425"/>
      </w:pPr>
      <w:r>
        <w:t xml:space="preserve">Перемещение объекта между подразделениями оформляют отдельным документом — накладной на внутреннее перемещение, и её реквизиты переносят в карточку.</w:t>
      </w:r>
    </w:p>
    <w:p>
      <w:pPr>
        <w:pStyle w:val="ClauseHeading"/>
      </w:pPr>
      <w:r>
        <w:rPr>
          <w:b/>
        </w:rPr>
        <w:t xml:space="preserve">Переоценка, модернизация и ремонт</w:t>
      </w:r>
    </w:p>
    <w:p>
      <w:pPr>
        <w:ind w:firstLine="425"/>
      </w:pPr>
      <w:r>
        <w:t xml:space="preserve">Первоначальная стоимость объекта изменялась. Что сделано: установлено устройство числового программного управления, затраты 410 000 руб., акт от 18.11.2026 № 34.______Изменений первоначальной стоимости не было.</w:t>
      </w:r>
    </w:p>
    <w:p>
      <w:pPr>
        <w:ind w:firstLine="425"/>
      </w:pPr>
      <w:r>
        <w:t xml:space="preserve">Затраты на достройку, дооборудование, реконструкцию, модернизацию и техническое перевооружение увеличивают стоимость объекта, а расходы на ремонт — нет (ст. 257 НК РФ).</w:t>
      </w:r>
    </w:p>
    <w:p>
      <w:pPr>
        <w:ind w:firstLine="425"/>
      </w:pPr>
      <w:r>
        <w:t xml:space="preserve">Расходы на ремонт основных средств признаются в размере фактических затрат в том отчётном периоде, в котором они произведены, — по статье 260 Налогового кодекса.</w:t>
      </w:r>
    </w:p>
    <w:p>
      <w:pPr>
        <w:ind w:firstLine="425"/>
      </w:pPr>
      <w:r>
        <w:t xml:space="preserve">Граница между ремонтом и модернизацией — в результате работ: восстановили исходные характеристики, значит ремонт; изменили назначение, мощность, точность или другие показатели, значит модернизация. Формулировку в акте подрядчика проверяйте до подписания.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66"/>
        <w:gridCol w:w="1148"/>
        <w:gridCol w:w="1836"/>
        <w:gridCol w:w="1607"/>
        <w:gridCol w:w="2983"/>
      </w:tblGrid>
      <w:tr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Затраты руб.</w:t>
            </w:r>
          </w:p>
        </w:tc>
        <w:tc>
          <w:tcPr>
            <w:tcW w:w="15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после работ руб.</w:t>
            </w: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объекту проводилась переоценка. Результаты вносят отдельными строками с указанием даты, коэффициента и восстановительной стоимости.______Переоценка по объекту не проводилась.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28"/>
        <w:gridCol w:w="2121"/>
        <w:gridCol w:w="1735"/>
        <w:gridCol w:w="1928"/>
        <w:gridCol w:w="1928"/>
      </w:tblGrid>
      <w:tr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переоценки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Коэффициент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до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после руб.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Решение о переоценке принимают в отношении всей группы однородных объектов сразу и применяют его последовательно из года в год: переоценить один станок в группе нельзя.</w:t>
      </w:r>
    </w:p>
    <w:p>
      <w:pPr>
        <w:pStyle w:val="ClauseHeading"/>
      </w:pPr>
      <w:r>
        <w:rPr>
          <w:b/>
        </w:rPr>
        <w:t xml:space="preserve">Выбытие объекта и закрытие карточки</w:t>
      </w:r>
    </w:p>
    <w:p>
      <w:pPr>
        <w:ind w:firstLine="425"/>
      </w:pPr>
      <w:r>
        <w:t xml:space="preserve">Объект числится в организации, карточка открыта.Объект продан. Документ о выбытии: акт о списании объекта основных средств от 30.12.2029 № 6. Финансовый результат от продажи: 124000 руб.Объект списан вследствие износа, поломки или аварии. Документ о списании: акт о списании объекта основных средств от 30.12.2029 № 6. Результат от списания: 124000 руб.Объект передан в уставный капитал другой организации или безвозмездно. Документ о передаче: акт о списании объекта основных средств от 30.12.2029 № 6. Результат передачи: 124000 руб.</w:t>
      </w:r>
    </w:p>
    <w:p>
      <w:pPr>
        <w:ind w:firstLine="425"/>
      </w:pPr>
      <w:r>
        <w:t xml:space="preserve">После выбытия карточку закрывают и изымают из действующей картотеки, но не уничтожают: она подтверждает историю объекта и остаточную стоимость на дату выбытия.</w:t>
      </w:r>
    </w:p>
    <w:p>
      <w:pPr>
        <w:ind w:firstLine="425"/>
      </w:pPr>
      <w:r>
        <w:t xml:space="preserve">Материалы, полученные при разборке и демонтаже списанного объекта, приходуют по справедливой стоимости — это доход, а не «остатки в углу склада».</w:t>
      </w:r>
    </w:p>
    <w:p>
      <w:pPr>
        <w:ind w:firstLine="425"/>
      </w:pPr>
      <w:r>
        <w:t xml:space="preserve">Документы бухгалтерского учёта хранят не менее пяти лет после отчётного года, а по объектам основных средств отсчёт удобнее вести от года выбытия (ст. 29 402-ФЗ).</w:t>
      </w:r>
    </w:p>
    <w:p>
      <w:pPr>
        <w:ind w:firstLine="425"/>
      </w:pPr>
      <w:r>
        <w:t xml:space="preserve">Бухгалтер, ведущий карточку: Ильина Светлана Борисовна ________________.</w:t>
      </w:r>
    </w:p>
    <w:p>
      <w:pPr>
        <w:ind w:firstLine="425"/>
      </w:pPr>
      <w:r>
        <w:t xml:space="preserve">Материально ответственное лицо: Пестов Виктор Сергеевич 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сверки при инвентаризации основных средств</w:t>
      </w:r>
    </w:p>
    <w:p>
      <w:pPr>
        <w:ind w:firstLine="425"/>
      </w:pPr>
      <w:r>
        <w:t xml:space="preserve">Приложение к инвентарной карточке № 00318 по объекту «станок токарно-винторезный 16К20», инвентарный номер 010318.</w:t>
      </w:r>
    </w:p>
    <w:p>
      <w:pPr>
        <w:ind w:firstLine="425"/>
      </w:pPr>
      <w:r>
        <w:t xml:space="preserve">Лист заполняют при каждой инвентаризации основных средств и подшивают к карточке. По нему видно, что объект реально осматривали, а не переписывали данные из прошлогодней описи.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54"/>
        <w:gridCol w:w="1753"/>
        <w:gridCol w:w="1928"/>
        <w:gridCol w:w="1577"/>
        <w:gridCol w:w="1928"/>
      </w:tblGrid>
      <w:tr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инвентаризации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нахождения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наличие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объекта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члена комиссии</w:t>
            </w: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осмотре сверяют три вещи: инвентарный номер на объекте и в карточке, фактическое место нахождения и подразделение, указанное в карточке, а также лицо, за которым объект закреплён.</w:t>
      </w:r>
    </w:p>
    <w:p>
      <w:pPr>
        <w:ind w:firstLine="425"/>
      </w:pPr>
      <w:r>
        <w:t xml:space="preserve">Если инвентарный номер на объекте стёрся или отсутствует, его наносят заново тем же номером — присваивать объекту новый номер нельзя, иначе в учёте появится «второй» объект.</w:t>
      </w:r>
    </w:p>
    <w:p>
      <w:pPr>
        <w:ind w:firstLine="425"/>
      </w:pPr>
      <w:r>
        <w:t xml:space="preserve">Объекты, не пригодные к использованию и не подлежащие восстановлению, отмечают отдельно: по ним готовят документы на списание, а не переносят из описи в опись годами.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«Инвентарная карточка учёта объекта основных средств (форма ОС-6)» с сайта primadoc.ru. Документ, заполненный под вашу ситуацию, собирается в конструкторе: https://primadoc.ru/doc/inventarnaya-kartochka-ucheta-obekta-osnovnyh-sredstv-forma-os-6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Инвентарная карточка учёта объекта основных средств (форма ОС-6) — образец заполнения</dc:title>
  <dc:creator>Примадок</dc:creator>
  <dcterms:created xsi:type="dcterms:W3CDTF">2026-09-12T08:05:09Z</dcterms:created>
</cp:coreProperties>
</file>