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Инвентаризационная опись товарно-материальных ценностей (форма ИНВ-3)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Опись и её реквизиты</w:t>
      </w:r>
    </w:p>
    <w:p>
      <w:pPr>
        <w:ind w:firstLine="425"/>
      </w:pPr>
      <w:r>
        <w:t xml:space="preserve">1.1. Инвентаризационная опись товарно-материальных ценностей составлена по организации ______ (структурное подразделение: ______), код по ОКПО ______.</w:t>
      </w:r>
    </w:p>
    <w:p>
      <w:pPr>
        <w:ind w:firstLine="425"/>
      </w:pPr>
      <w:r>
        <w:t xml:space="preserve">1.2. Вид ценностей на складе: ______.</w:t>
      </w:r>
    </w:p>
    <w:p>
      <w:pPr>
        <w:ind w:firstLine="425"/>
      </w:pPr>
      <w:r>
        <w:t xml:space="preserve">1.3. Опись оформляется по итогам сплошного пересчёта, взвешивания и обмера ценностей на складе — это первичный учётный документ, обязательные реквизиты которого перечислены в законе о бухгалтерском учёте (ст. 9 402-ФЗ).</w:t>
      </w:r>
    </w:p>
    <w:p>
      <w:pPr>
        <w:ind w:firstLine="425"/>
      </w:pPr>
      <w:r>
        <w:t xml:space="preserve">1.4. Форма построена по перечню реквизитов унифицированной формы № ИНВ-3, утверждённой постановлением Госкомстата России от 18.08.1998 № 88: с 2013 года эта форма необязательна, организация вправе применять её как есть или на её основе разработать собственный бланк, закрепив его в учётной политике.</w:t>
      </w:r>
    </w:p>
    <w:p>
      <w:pPr>
        <w:ind w:firstLine="425"/>
      </w:pPr>
      <w:r>
        <w:t xml:space="preserve">1.5. Опись не заменяет и не включает сличительную ведомость: если пересчёт выявит расхождение фактического остатка с данными учёта, расхождения оформляются отдельным документом — сличительной ведомостью, а не дописываются в саму опись.</w:t>
      </w:r>
    </w:p>
    <w:p>
      <w:pPr>
        <w:pStyle w:val="ClauseHeading"/>
      </w:pPr>
      <w:r>
        <w:rPr>
          <w:b/>
        </w:rPr>
        <w:t xml:space="preserve">2. Основание для инвентаризации и состав комиссии</w:t>
      </w:r>
    </w:p>
    <w:p>
      <w:pPr>
        <w:ind w:firstLine="425"/>
      </w:pPr>
      <w:r>
        <w:t xml:space="preserve">2.1. Инвентаризация проводится на основании приказа (распоряжения) № ______ от ______ о назначении инвентаризационной комиссии — обязанность и общий порядок инвентаризации активов установлены законом о бухгалтерском учёте (ст. 11 402-ФЗ).</w:t>
      </w:r>
    </w:p>
    <w:p>
      <w:pPr>
        <w:ind w:firstLine="425"/>
      </w:pPr>
      <w:r>
        <w:t xml:space="preserve">2.2. Председатель комиссии: ______ ______.</w:t>
      </w:r>
    </w:p>
    <w:p>
      <w:pPr>
        <w:ind w:firstLine="425"/>
      </w:pPr>
      <w:r>
        <w:t xml:space="preserve">2.3. В состав комиссии, кроме председателя, включены: ______. ______ ______;</w:t>
      </w:r>
    </w:p>
    <w:p>
      <w:pPr>
        <w:ind w:firstLine="425"/>
      </w:pPr>
      <w:r>
        <w:t xml:space="preserve">2.4. Отсутствие хотя бы одного члена комиссии при пересчёте — основание считать результаты инвентаризации недействительными, поэтому явку членов комиссии проверяют перед началом работы и фиксируют в описи, если кто-то отсутствовал.</w:t>
      </w:r>
    </w:p>
    <w:p>
      <w:pPr>
        <w:pStyle w:val="ClauseHeading"/>
      </w:pPr>
      <w:r>
        <w:rPr>
          <w:b/>
        </w:rPr>
        <w:t xml:space="preserve">3. Сроки проведения инвентаризации</w:t>
      </w:r>
    </w:p>
    <w:p>
      <w:pPr>
        <w:ind w:firstLine="425"/>
      </w:pPr>
      <w:r>
        <w:t xml:space="preserve">3.1. Инвентаризация начата ______ и окончена ______.</w:t>
      </w:r>
    </w:p>
    <w:p>
      <w:pPr>
        <w:ind w:firstLine="425"/>
      </w:pPr>
      <w:r>
        <w:t xml:space="preserve">3.2. На время пересчёта доступ на склад ограничивается: приём и отпуск ценностей в эти дни не производится.</w:t>
      </w:r>
    </w:p>
    <w:p>
      <w:pPr>
        <w:ind w:firstLine="425"/>
      </w:pPr>
      <w:r>
        <w:t xml:space="preserve">3.3. Если такая операция всё же необходима, её проводят в присутствии комиссии и делают отдельную отметку в описи со ссылкой на документ отпуска или приёмки.</w:t>
      </w:r>
    </w:p>
    <w:p>
      <w:pPr>
        <w:ind w:firstLine="425"/>
      </w:pPr>
      <w:r>
        <w:t xml:space="preserve">3.4. Материально ответственное лицо присутствует при пересчёте лично на всём протяжении инвентаризации — опись, составленная в его отсутствие, легко оспорить.</w:t>
      </w:r>
    </w:p>
    <w:p>
      <w:pPr>
        <w:pStyle w:val="ClauseHeading"/>
      </w:pPr>
      <w:r>
        <w:rPr>
          <w:b/>
        </w:rPr>
        <w:t xml:space="preserve">4. Расписка материально ответственного лица</w:t>
      </w:r>
    </w:p>
    <w:p>
      <w:pPr>
        <w:ind w:firstLine="425"/>
      </w:pPr>
      <w:r>
        <w:t xml:space="preserve">4.1. К началу инвентаризации материально ответственное лицо, ______ ______, даёт расписку о том, что все расходные и приходные документы на товарно-материальные ценности сданы в бухгалтерию, а сами ценности, поступившие на его ответственность или выбывшие с неё, оприходованы либо списаны в расход.</w:t>
      </w:r>
    </w:p>
    <w:p>
      <w:pPr>
        <w:ind w:firstLine="425"/>
      </w:pPr>
      <w:r>
        <w:t xml:space="preserve">4.2. Расписка — не формальность: без неё комиссия не вправе приступать к пересчёту, потому что до этого момента неизвестно, какие документы ещё не отражены в остатках по учёту.</w:t>
      </w:r>
    </w:p>
    <w:p>
      <w:pPr>
        <w:ind w:firstLine="425"/>
      </w:pPr>
      <w:r>
        <w:t xml:space="preserve">4.3. Пропуск расписки — частая причина, по которой результаты инвентаризации впоследствии оспаривают как недостоверные.</w:t>
      </w:r>
    </w:p>
    <w:p>
      <w:pPr>
        <w:ind w:firstLine="425"/>
      </w:pPr>
      <w:r>
        <w:t xml:space="preserve">4.4. Текст расписки приведён в приложении к описи.</w:t>
      </w:r>
    </w:p>
    <w:p>
      <w:pPr>
        <w:pStyle w:val="ClauseHeading"/>
      </w:pPr>
      <w:r>
        <w:rPr>
          <w:b/>
        </w:rPr>
        <w:t xml:space="preserve">5. Фактическое наличие товарно-материальных ценностей</w:t>
      </w:r>
    </w:p>
    <w:p>
      <w:pPr>
        <w:ind w:firstLine="425"/>
      </w:pPr>
      <w:r>
        <w:t xml:space="preserve">5.1. Комиссия фактически пересчитала, взвесила или обмерила каждую позицию в присутствии материально ответственного лица; результаты внесены в таблицу без исправлений — при обнаруженной описке верную запись дают отдельной строкой, а не подчисткой прежней.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36"/>
        <w:gridCol w:w="2499"/>
        <w:gridCol w:w="2499"/>
        <w:gridCol w:w="714"/>
        <w:gridCol w:w="1963"/>
        <w:gridCol w:w="1428"/>
      </w:tblGrid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Номенклатурный номер</w:t>
            </w:r>
          </w:p>
        </w:tc>
        <w:tc>
          <w:tcPr>
            <w:tcW w:w="12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Наименование, сорт, артикул</w:t>
            </w:r>
          </w:p>
        </w:tc>
        <w:tc>
          <w:tcPr>
            <w:tcW w:w="3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10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Фактическое наличие</w:t>
            </w:r>
          </w:p>
        </w:tc>
        <w:tc>
          <w:tcPr>
            <w:tcW w:w="7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 данным учёта</w:t>
            </w: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5.2. Наименования вносят по номенклатуре, принятой в организации; если позиция отсутствует в номенклатурном справочнике, ей присваивают номер прямо в описи и сообщают в бухгалтерию для включения в справочник.</w:t>
      </w:r>
    </w:p>
    <w:p>
      <w:pPr>
        <w:ind w:firstLine="425"/>
      </w:pPr>
      <w:r>
        <w:t xml:space="preserve">5.3. По каждой строке комиссия сверяет графу «Фактическое наличие» с графой «По данным учёта»: совпадение означает, что расхождений нет и сличительная ведомость по этой позиции не составляется.</w:t>
      </w:r>
    </w:p>
    <w:p>
      <w:pPr>
        <w:pStyle w:val="ClauseHeading"/>
      </w:pPr>
      <w:r>
        <w:rPr>
          <w:b/>
        </w:rPr>
        <w:t xml:space="preserve">6. Ценности, принятые на ответственное хранение или комиссию</w:t>
      </w:r>
    </w:p>
    <w:p>
      <w:pPr>
        <w:ind w:firstLine="425"/>
      </w:pPr>
      <w:r>
        <w:t xml:space="preserve">6.1. На складе учитываются также ценности, не принадлежащие организации: ______.</w:t>
      </w:r>
    </w:p>
    <w:p>
      <w:pPr>
        <w:ind w:firstLine="425"/>
      </w:pPr>
      <w:r>
        <w:t xml:space="preserve">6.2. Такие ценности пересчитываются наравне с собственными, но заносятся в опись отдельным разделом с пометкой «на ответственном хранении» или «на комиссии» и с указанием владельца и документа-основания — договора хранения, комиссии или накладной на приём.</w:t>
      </w:r>
    </w:p>
    <w:p>
      <w:pPr>
        <w:ind w:firstLine="425"/>
      </w:pPr>
      <w:r>
        <w:t xml:space="preserve">6.3. В общую стоимость активов организации по бухгалтерскому балансу такие ценности не включаются: их учитывают за балансом, отдельно от собственных остатков.</w:t>
      </w:r>
    </w:p>
    <w:p>
      <w:pPr>
        <w:ind w:firstLine="425"/>
      </w:pPr>
      <w:r>
        <w:t xml:space="preserve">6.4. При выявленной недостаче или порче чужих ценностей организация отвечает перед их владельцем по правилам об ответственности хранителя или комиссионера, а не по правилам трудового законодательства о материальной ответственности работника — это два разных основания ответственности, которые нельзя путать при составлении претензии.</w:t>
      </w:r>
    </w:p>
    <w:p>
      <w:pPr>
        <w:pStyle w:val="ClauseHeading"/>
      </w:pPr>
      <w:r>
        <w:rPr>
          <w:b/>
        </w:rPr>
        <w:t xml:space="preserve">7. Подписи по результатам пересчёта</w:t>
      </w:r>
    </w:p>
    <w:p>
      <w:pPr>
        <w:ind w:firstLine="425"/>
      </w:pPr>
      <w:r>
        <w:t xml:space="preserve">7.1. По окончании пересчёта опись подписывают председатель и все члены комиссии, а также материально ответственное лицо.</w:t>
      </w:r>
    </w:p>
    <w:p>
      <w:pPr>
        <w:ind w:firstLine="425"/>
      </w:pPr>
      <w:r>
        <w:t xml:space="preserve">7.2. Подписью материально ответственное лицо подтверждает, что комиссия проверила ценности в его присутствии, к порядку пересчёта претензий нет, а перечисленные ценности приняты им на дальнейшее ответственное хранение.</w:t>
      </w:r>
    </w:p>
    <w:p>
      <w:pPr>
        <w:ind w:firstLine="425"/>
      </w:pPr>
      <w:r>
        <w:t xml:space="preserve">7.3. Материально ответственное лицо не согласно с частью результатов и указывает особое мнение: ______.</w:t>
      </w:r>
    </w:p>
    <w:p>
      <w:pPr>
        <w:ind w:firstLine="425"/>
      </w:pPr>
      <w:r>
        <w:t xml:space="preserve">7.4. Особое мнение не приостанавливает подписание описи — оно фиксируется здесь же и учитывается руководителем при рассмотрении итогов инвентаризации.______Материально ответственное лицо согласно с результатами пересчёта и подписывает опись без замечаний.</w:t>
      </w:r>
    </w:p>
    <w:p>
      <w:pPr>
        <w:ind w:firstLine="425"/>
      </w:pPr>
      <w:r>
        <w:t xml:space="preserve">7.5. Незаполненные строки на последнем листе описи комиссия прочёркивает — иначе туда можно дописать позиции задним числом.</w:t>
      </w:r>
    </w:p>
    <w:p>
      <w:pPr>
        <w:ind w:firstLine="425"/>
      </w:pPr>
      <w:r>
        <w:t xml:space="preserve">7.6. Подписи ставят на каждом листе описи, а не только на последнем: многостраничная опись без подписи на каждом листе уязвима при оспаривании результатов.</w:t>
      </w:r>
    </w:p>
    <w:p>
      <w:pPr>
        <w:pStyle w:val="ClauseHeading"/>
      </w:pPr>
      <w:r>
        <w:rPr>
          <w:b/>
        </w:rPr>
        <w:t xml:space="preserve">8. Что делать при обнаруженном расхождении</w:t>
      </w:r>
    </w:p>
    <w:p>
      <w:pPr>
        <w:ind w:firstLine="425"/>
      </w:pPr>
      <w:r>
        <w:t xml:space="preserve">8.1. Расхождение фактического наличия с данными учёта оформляется не в этой описи, а отдельным документом — сличительной ведомостью, куда переносят только позиции с расхождением, а не весь перечень ценностей.</w:t>
      </w:r>
    </w:p>
    <w:p>
      <w:pPr>
        <w:ind w:firstLine="425"/>
      </w:pPr>
      <w:r>
        <w:t xml:space="preserve">8.2. До оформления сличительной ведомости бухгалтерия не вправе списывать недостачу или приходовать излишек: основанием для проводок служат утверждённая руководителем сличительная ведомость и решение по итогам инвентаризации, а не сама опись.</w:t>
      </w:r>
    </w:p>
    <w:p>
      <w:pPr>
        <w:ind w:firstLine="425"/>
      </w:pPr>
      <w:r>
        <w:t xml:space="preserve">8.3. Излишек приходуется по рыночной стоимости на дату инвентаризации и включается в прочие доходы.</w:t>
      </w:r>
    </w:p>
    <w:p>
      <w:pPr>
        <w:ind w:firstLine="425"/>
      </w:pPr>
      <w:r>
        <w:t xml:space="preserve">8.4. Недостача в пределах норм естественной убыли списывается на издержки, а сверх норм — относится на виновных лиц либо на финансовый результат, если виновные не установлены или суд отказал во взыскании.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Расписка материально ответственного лица</w:t>
      </w:r>
    </w:p>
    <w:p>
      <w:pPr>
        <w:ind w:firstLine="425"/>
      </w:pPr>
      <w:r>
        <w:t xml:space="preserve">РАСПИСКА</w:t>
      </w:r>
    </w:p>
    <w:p>
      <w:pPr>
        <w:ind w:firstLine="425"/>
      </w:pPr>
      <w:r>
        <w:t xml:space="preserve">К началу инвентаризации все расходные и приходные документы на товарно-материальные ценности сданы в бухгалтерию, а товарно-материальные ценности, поступившие на моё ответственное хранение либо выбывшие с него, оприходованы или списаны в расход.</w:t>
      </w:r>
    </w:p>
    <w:p>
      <w:pPr>
        <w:ind w:firstLine="425"/>
      </w:pPr>
      <w:r>
        <w:t xml:space="preserve">Материально ответственное лицо: ______ ______.</w:t>
      </w:r>
    </w:p>
    <w:p>
      <w:pPr>
        <w:ind w:firstLine="425"/>
      </w:pPr>
      <w:r>
        <w:t xml:space="preserve">Подпись: ________________ Дата: ______.</w:t>
      </w:r>
    </w:p>
    <w:p>
      <w:pPr>
        <w:ind w:firstLine="425"/>
      </w:pPr>
      <w:r>
        <w:t xml:space="preserve">Расписку прикладывают к описи первым листом: без неё комиссия не приступает к пересчёту.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подписей по итогам пересчёта</w:t>
      </w:r>
    </w:p>
    <w:p>
      <w:pPr>
        <w:ind w:firstLine="425"/>
      </w:pPr>
      <w:r>
        <w:t xml:space="preserve">Лист используют, если строк для подписи в самой описи не хватает — например, при большом составе комиссии или при инвентаризации по нескольким помещениям одновременно.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26"/>
        <w:gridCol w:w="3305"/>
        <w:gridCol w:w="3305"/>
        <w:gridCol w:w="2203"/>
      </w:tblGrid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</w:t>
            </w:r>
          </w:p>
        </w:tc>
        <w:tc>
          <w:tcPr>
            <w:tcW w:w="11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Каждый член комиссии расписывается лично; подпись по доверенности или за другого члена комиссии не допускается.</w:t>
      </w:r>
    </w:p>
    <w:p>
      <w:pPr>
        <w:pStyle w:val="ClauseHeading"/>
      </w:pPr>
      <w:r>
        <w:rPr>
          <w:b/>
        </w:rPr>
        <w:t xml:space="preserve">9.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Организация (владелец склада)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Организация (владелец склада)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«Инвентаризационная опись товарно-материальных ценностей (форма ИНВ-3)» с сайта primadoc.ru. Документ, заполненный под вашу ситуацию, собирается в конструкторе: https://primadoc.ru/doc/inventarizacionnaya-opis-tovarno-materialnyh-cennostey-forma-inv-3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Инвентаризационная опись товарно-материальных ценностей (форма ИНВ-3) — пустой бланк</dc:title>
  <dc:creator>Примадок</dc:creator>
  <dcterms:created xsi:type="dcterms:W3CDTF">2026-09-13T13:29:49Z</dcterms:created>
</cp:coreProperties>
</file>