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left"/>
      </w:pPr>
      <w:r>
        <w:t xml:space="preserve">______</w:t>
      </w:r>
    </w:p>
    <w:p>
      <w:pPr>
        <w:jc w:val="left"/>
      </w:pPr>
      <w:r>
        <w:t xml:space="preserve">ИНН ______, ОГРН ______</w:t>
      </w:r>
    </w:p>
    <w:p>
      <w:pPr>
        <w:jc w:val="left"/>
      </w:pPr>
      <w:r>
        <w:t xml:space="preserve">______</w:t>
      </w:r>
    </w:p>
    <w:p>
      <w:pPr>
        <w:jc w:val="left"/>
      </w:pPr>
      <w:r>
        <w:t xml:space="preserve">УТВЕРЖДЕНО</w:t>
      </w:r>
    </w:p>
    <w:p>
      <w:pPr>
        <w:jc w:val="left"/>
      </w:pPr>
      <w:r>
        <w:t xml:space="preserve">приказом ______</w:t>
      </w:r>
    </w:p>
    <w:p>
      <w:pPr>
        <w:jc w:val="left"/>
      </w:pPr>
      <w:r>
        <w:t xml:space="preserve">от ______ № ______</w:t>
      </w:r>
    </w:p>
    <w:p>
      <w:pPr>
        <w:jc w:val="left"/>
      </w:pPr>
      <w:r>
        <w:t xml:space="preserve">______ ______________</w:t>
      </w:r>
    </w:p>
    <w:p>
      <w:pPr>
        <w:jc w:val="left"/>
      </w:pPr>
      <w:r>
        <w:t xml:space="preserve">______</w:t>
      </w:r>
    </w:p>
    <w:p>
      <w:pPr>
        <w:pStyle w:val="DocTitle"/>
      </w:pPr>
      <w:r>
        <w:t xml:space="preserve">Инструкция по взаимодействию с Роскомнадзором</w:t>
      </w:r>
    </w:p>
    <w:p>
      <w:pPr>
        <w:tabs>
          <w:tab w:val="right" w:pos="9639"/>
        </w:tabs>
        <w:spacing w:after="240"/>
      </w:pPr>
      <w:r>
        <w:t xml:space="preserve">г. ______</w:t>
      </w:r>
      <w:r>
        <w:tab/>
        <w:t xml:space="preserve">«__» __________ ____ г.</w:t>
      </w:r>
    </w:p>
    <w:p>
      <w:pPr>
        <w:pStyle w:val="ClauseHeading"/>
      </w:pPr>
      <w:r>
        <w:rPr>
          <w:b/>
        </w:rPr>
        <w:t xml:space="preserve">1. Кому адресована инструкция</w:t>
      </w:r>
    </w:p>
    <w:p>
      <w:pPr>
        <w:ind w:firstLine="425"/>
      </w:pPr>
      <w:r>
        <w:t xml:space="preserve">1.1. Настоящая Инструкция определяет последовательность личных действий работника ______ (далее — Оператор), на которого возложена организация обработки персональных данных, при взаимодействии с уполномоченным органом по защите прав субъектов персональных данных.</w:t>
      </w:r>
    </w:p>
    <w:p>
      <w:pPr>
        <w:ind w:firstLine="425"/>
      </w:pPr>
      <w:r>
        <w:t xml:space="preserve">1.2. Исполнителем по настоящей Инструкции является ______ ______ (ст. 22.1 152-ФЗ).</w:t>
      </w:r>
    </w:p>
    <w:p>
      <w:pPr>
        <w:ind w:firstLine="425"/>
      </w:pPr>
      <w:r>
        <w:t xml:space="preserve">1.3. На время его отсутствия обязанности исполняет ______ на основании приказа руководителя.</w:t>
      </w:r>
    </w:p>
    <w:p>
      <w:pPr>
        <w:ind w:firstLine="425"/>
      </w:pPr>
      <w:r>
        <w:t xml:space="preserve">1.4. Общий порядок взаимодействия Оператора с регуляторами, распределение ролей между подразделениями и порядок исполнения предписаний установлены регламентом взаимодействия с уполномоченными органами.</w:t>
      </w:r>
    </w:p>
    <w:p>
      <w:pPr>
        <w:ind w:firstLine="425"/>
      </w:pPr>
      <w:r>
        <w:t xml:space="preserve">1.5. Настоящая Инструкция не заменяет регламент, а описывает, что и в какой последовательности делает лично исполнитель.</w:t>
      </w:r>
    </w:p>
    <w:p>
      <w:pPr>
        <w:ind w:firstLine="425"/>
      </w:pPr>
      <w:r>
        <w:t xml:space="preserve">1.6. Исполнитель ведёт переписку с территориальным органом — ______, а также через личный кабинет оператора на портале уполномоченного органа.</w:t>
      </w:r>
    </w:p>
    <w:p>
      <w:pPr>
        <w:ind w:firstLine="425"/>
      </w:pPr>
      <w:r>
        <w:t xml:space="preserve">1.7. Регистрационный номер Оператора в реестре операторов: ______.</w:t>
      </w:r>
    </w:p>
    <w:p>
      <w:pPr>
        <w:ind w:firstLine="425"/>
      </w:pPr>
      <w:r>
        <w:t xml:space="preserve">1.8. Номер указывается в каждом исходящем документе, направляемом уполномоченному органу.</w:t>
      </w:r>
    </w:p>
    <w:p>
      <w:pPr>
        <w:ind w:firstLine="425"/>
      </w:pPr>
      <w:r>
        <w:t xml:space="preserve">1.9. Исполнитель не вправе самостоятельно признавать нарушение, принимать обязательства об устранении и подписывать объяснения по существу вменяемого нарушения без письменного согласования с руководителем.</w:t>
      </w:r>
    </w:p>
    <w:p>
      <w:pPr>
        <w:pStyle w:val="ClauseHeading"/>
      </w:pPr>
      <w:r>
        <w:rPr>
          <w:b/>
        </w:rPr>
        <w:t xml:space="preserve">2. Что исполнитель делает и в какие сроки</w:t>
      </w:r>
    </w:p>
    <w:p>
      <w:pPr>
        <w:ind w:firstLine="425"/>
      </w:pPr>
      <w:r>
        <w:t xml:space="preserve">2.1. Исполнитель контролирует наступление событий, с которыми закон связывает обязанность обратиться к уполномоченному органу, и выполняет соответствующее действие в срок.</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3615"/>
        <w:gridCol w:w="3464"/>
        <w:gridCol w:w="2560"/>
      </w:tblGrid>
      <w:tr>
        <w:tc>
          <w:tcPr>
            <w:tcW w:w="1875" w:type="pct"/>
            <w:vAlign w:val="center"/>
          </w:tcPr>
          <w:p>
            <w:pPr>
              <w:jc w:val="center"/>
              <w:ind w:firstLine="0"/>
            </w:pPr>
            <w:r>
              <w:rPr>
                <w:b/>
              </w:rPr>
              <w:t xml:space="preserve">Событие</w:t>
            </w:r>
          </w:p>
        </w:tc>
        <w:tc>
          <w:tcPr>
            <w:tcW w:w="1797" w:type="pct"/>
            <w:vAlign w:val="center"/>
          </w:tcPr>
          <w:p>
            <w:pPr>
              <w:jc w:val="center"/>
              <w:ind w:firstLine="0"/>
            </w:pPr>
            <w:r>
              <w:rPr>
                <w:b/>
              </w:rPr>
              <w:t xml:space="preserve">Что делает исполнитель</w:t>
            </w:r>
          </w:p>
        </w:tc>
        <w:tc>
          <w:tcPr>
            <w:tcW w:w="1328" w:type="pct"/>
            <w:vAlign w:val="center"/>
          </w:tcPr>
          <w:p>
            <w:pPr>
              <w:jc w:val="center"/>
              <w:ind w:firstLine="0"/>
            </w:pPr>
            <w:r>
              <w:rPr>
                <w:b/>
              </w:rPr>
              <w:t xml:space="preserve">Срок</w:t>
            </w:r>
          </w:p>
        </w:tc>
      </w:tr>
      <w:tr>
        <w:tc>
          <w:tcPr>
            <w:tcW w:w="1875" w:type="pct"/>
            <w:vAlign w:val="center"/>
          </w:tcPr>
          <w:p>
            <w:pPr>
              <w:jc w:val="left"/>
              <w:ind w:firstLine="0"/>
            </w:pPr>
            <w:r>
              <w:t xml:space="preserve">Начало обработки персональных данных</w:t>
            </w:r>
          </w:p>
        </w:tc>
        <w:tc>
          <w:tcPr>
            <w:tcW w:w="1797" w:type="pct"/>
            <w:vAlign w:val="center"/>
          </w:tcPr>
          <w:p>
            <w:pPr>
              <w:jc w:val="left"/>
              <w:ind w:firstLine="0"/>
            </w:pPr>
            <w:r>
              <w:t xml:space="preserve">направляет уведомление об обработке</w:t>
            </w:r>
          </w:p>
        </w:tc>
        <w:tc>
          <w:tcPr>
            <w:tcW w:w="1328" w:type="pct"/>
            <w:vAlign w:val="center"/>
          </w:tcPr>
          <w:p>
            <w:pPr>
              <w:jc w:val="left"/>
              <w:ind w:firstLine="0"/>
            </w:pPr>
            <w:r>
              <w:t xml:space="preserve">до начала обработки</w:t>
            </w:r>
          </w:p>
        </w:tc>
      </w:tr>
      <w:tr>
        <w:tc>
          <w:tcPr>
            <w:tcW w:w="1875" w:type="pct"/>
            <w:vAlign w:val="center"/>
          </w:tcPr>
          <w:p>
            <w:pPr>
              <w:jc w:val="left"/>
              <w:ind w:firstLine="0"/>
            </w:pPr>
            <w:r>
              <w:t xml:space="preserve">Изменение сведений из уведомления</w:t>
            </w:r>
          </w:p>
        </w:tc>
        <w:tc>
          <w:tcPr>
            <w:tcW w:w="1797" w:type="pct"/>
            <w:vAlign w:val="center"/>
          </w:tcPr>
          <w:p>
            <w:pPr>
              <w:jc w:val="left"/>
              <w:ind w:firstLine="0"/>
            </w:pPr>
            <w:r>
              <w:t xml:space="preserve">направляет информационное письмо об изменении</w:t>
            </w:r>
          </w:p>
        </w:tc>
        <w:tc>
          <w:tcPr>
            <w:tcW w:w="1328" w:type="pct"/>
            <w:vAlign w:val="center"/>
          </w:tcPr>
          <w:p>
            <w:pPr>
              <w:jc w:val="left"/>
              <w:ind w:firstLine="0"/>
            </w:pPr>
            <w:r>
              <w:t xml:space="preserve">10 рабочих дней со дня изменения</w:t>
            </w:r>
          </w:p>
        </w:tc>
      </w:tr>
      <w:tr>
        <w:tc>
          <w:tcPr>
            <w:tcW w:w="1875" w:type="pct"/>
            <w:vAlign w:val="center"/>
          </w:tcPr>
          <w:p>
            <w:pPr>
              <w:jc w:val="left"/>
              <w:ind w:firstLine="0"/>
            </w:pPr>
            <w:r>
              <w:t xml:space="preserve">Инцидент — неправомерная передача или утечка</w:t>
            </w:r>
          </w:p>
        </w:tc>
        <w:tc>
          <w:tcPr>
            <w:tcW w:w="1797" w:type="pct"/>
            <w:vAlign w:val="center"/>
          </w:tcPr>
          <w:p>
            <w:pPr>
              <w:jc w:val="left"/>
              <w:ind w:firstLine="0"/>
            </w:pPr>
            <w:r>
              <w:t xml:space="preserve">направляет первичное уведомление</w:t>
            </w:r>
          </w:p>
        </w:tc>
        <w:tc>
          <w:tcPr>
            <w:tcW w:w="1328" w:type="pct"/>
            <w:vAlign w:val="center"/>
          </w:tcPr>
          <w:p>
            <w:pPr>
              <w:jc w:val="left"/>
              <w:ind w:firstLine="0"/>
            </w:pPr>
            <w:r>
              <w:t xml:space="preserve">24 часа с момента выявления</w:t>
            </w:r>
          </w:p>
        </w:tc>
      </w:tr>
      <w:tr>
        <w:tc>
          <w:tcPr>
            <w:tcW w:w="1875" w:type="pct"/>
            <w:vAlign w:val="center"/>
          </w:tcPr>
          <w:p>
            <w:pPr>
              <w:jc w:val="left"/>
              <w:ind w:firstLine="0"/>
            </w:pPr>
            <w:r>
              <w:t xml:space="preserve">Инцидент — завершение внутреннего расследования</w:t>
            </w:r>
          </w:p>
        </w:tc>
        <w:tc>
          <w:tcPr>
            <w:tcW w:w="1797" w:type="pct"/>
            <w:vAlign w:val="center"/>
          </w:tcPr>
          <w:p>
            <w:pPr>
              <w:jc w:val="left"/>
              <w:ind w:firstLine="0"/>
            </w:pPr>
            <w:r>
              <w:t xml:space="preserve">направляет результаты расследования</w:t>
            </w:r>
          </w:p>
        </w:tc>
        <w:tc>
          <w:tcPr>
            <w:tcW w:w="1328" w:type="pct"/>
            <w:vAlign w:val="center"/>
          </w:tcPr>
          <w:p>
            <w:pPr>
              <w:jc w:val="left"/>
              <w:ind w:firstLine="0"/>
            </w:pPr>
            <w:r>
              <w:t xml:space="preserve">72 часа с момента выявления</w:t>
            </w:r>
          </w:p>
        </w:tc>
      </w:tr>
      <w:tr>
        <w:tc>
          <w:tcPr>
            <w:tcW w:w="1875" w:type="pct"/>
            <w:vAlign w:val="center"/>
          </w:tcPr>
          <w:p>
            <w:pPr>
              <w:jc w:val="left"/>
              <w:ind w:firstLine="0"/>
            </w:pPr>
            <w:r>
              <w:t xml:space="preserve">Начало трансграничной передачи</w:t>
            </w:r>
          </w:p>
        </w:tc>
        <w:tc>
          <w:tcPr>
            <w:tcW w:w="1797" w:type="pct"/>
            <w:vAlign w:val="center"/>
          </w:tcPr>
          <w:p>
            <w:pPr>
              <w:jc w:val="left"/>
              <w:ind w:firstLine="0"/>
            </w:pPr>
            <w:r>
              <w:t xml:space="preserve">направляет отдельное уведомление</w:t>
            </w:r>
          </w:p>
        </w:tc>
        <w:tc>
          <w:tcPr>
            <w:tcW w:w="1328" w:type="pct"/>
            <w:vAlign w:val="center"/>
          </w:tcPr>
          <w:p>
            <w:pPr>
              <w:jc w:val="left"/>
              <w:ind w:firstLine="0"/>
            </w:pPr>
            <w:r>
              <w:t xml:space="preserve">до начала передачи</w:t>
            </w:r>
          </w:p>
        </w:tc>
      </w:tr>
      <w:tr>
        <w:tc>
          <w:tcPr>
            <w:tcW w:w="1875" w:type="pct"/>
            <w:vAlign w:val="center"/>
          </w:tcPr>
          <w:p>
            <w:pPr>
              <w:jc w:val="left"/>
              <w:ind w:firstLine="0"/>
            </w:pPr>
            <w:r>
              <w:t xml:space="preserve">Прекращение обработки персональных данных</w:t>
            </w:r>
          </w:p>
        </w:tc>
        <w:tc>
          <w:tcPr>
            <w:tcW w:w="1797" w:type="pct"/>
            <w:vAlign w:val="center"/>
          </w:tcPr>
          <w:p>
            <w:pPr>
              <w:jc w:val="left"/>
              <w:ind w:firstLine="0"/>
            </w:pPr>
            <w:r>
              <w:t xml:space="preserve">направляет уведомление о прекращении</w:t>
            </w:r>
          </w:p>
        </w:tc>
        <w:tc>
          <w:tcPr>
            <w:tcW w:w="1328" w:type="pct"/>
            <w:vAlign w:val="center"/>
          </w:tcPr>
          <w:p>
            <w:pPr>
              <w:jc w:val="left"/>
              <w:ind w:firstLine="0"/>
            </w:pPr>
            <w:r>
              <w:t xml:space="preserve">10 рабочих дней со дня прекращения</w:t>
            </w:r>
          </w:p>
        </w:tc>
      </w:tr>
      <w:tr>
        <w:tc>
          <w:tcPr>
            <w:tcW w:w="1875" w:type="pct"/>
            <w:vAlign w:val="center"/>
          </w:tcPr>
          <w:p>
            <w:pPr>
              <w:jc w:val="left"/>
              <w:ind w:firstLine="0"/>
            </w:pPr>
            <w:r>
              <w:t xml:space="preserve">Поступление запроса уполномоченного органа</w:t>
            </w:r>
          </w:p>
        </w:tc>
        <w:tc>
          <w:tcPr>
            <w:tcW w:w="1797" w:type="pct"/>
            <w:vAlign w:val="center"/>
          </w:tcPr>
          <w:p>
            <w:pPr>
              <w:jc w:val="left"/>
              <w:ind w:firstLine="0"/>
            </w:pPr>
            <w:r>
              <w:t xml:space="preserve">регистрирует и готовит ответ</w:t>
            </w:r>
          </w:p>
        </w:tc>
        <w:tc>
          <w:tcPr>
            <w:tcW w:w="1328" w:type="pct"/>
            <w:vAlign w:val="center"/>
          </w:tcPr>
          <w:p>
            <w:pPr>
              <w:jc w:val="left"/>
              <w:ind w:firstLine="0"/>
            </w:pPr>
            <w:r>
              <w:t xml:space="preserve">срок, указанный в запросе</w:t>
            </w:r>
          </w:p>
        </w:tc>
      </w:tr>
    </w:tbl>
    <w:p/>
    <w:p>
      <w:pPr>
        <w:ind w:firstLine="425"/>
      </w:pPr>
      <w:r>
        <w:t xml:space="preserve">2.2. Ежеквартально исполнитель сверяет сведения в реестре операторов со сведениями фактической обработки и докладывает руководителю о выявленных расхождениях.</w:t>
      </w:r>
    </w:p>
    <w:p>
      <w:pPr>
        <w:pStyle w:val="ClauseHeading"/>
      </w:pPr>
      <w:r>
        <w:rPr>
          <w:b/>
        </w:rPr>
        <w:t xml:space="preserve">3. Что собрать до начала подготовки уведомления</w:t>
      </w:r>
    </w:p>
    <w:p>
      <w:pPr>
        <w:ind w:firstLine="425"/>
      </w:pPr>
      <w:r>
        <w:t xml:space="preserve">3.1. Исполнитель получает у подразделений и проверяет сведения, из которых складывается уведомление.</w:t>
      </w:r>
    </w:p>
    <w:p>
      <w:pPr>
        <w:ind w:firstLine="425"/>
      </w:pPr>
      <w:r>
        <w:t xml:space="preserve">3.2. Учредительные и регистрационные данные Оператора: полное наименование, ИНН ______, ОГРН ______, адрес ______, контактный телефон ______ и адрес электронной почты ______.</w:t>
      </w:r>
    </w:p>
    <w:p>
      <w:pPr>
        <w:ind w:firstLine="425"/>
      </w:pPr>
      <w:r>
        <w:t xml:space="preserve">3.3. Перечень целей обработки по каждому процессу — из политики обработки персональных данных и приказа об утверждении перечня персональных данных.</w:t>
      </w:r>
    </w:p>
    <w:p>
      <w:pPr>
        <w:ind w:firstLine="425"/>
      </w:pPr>
      <w:r>
        <w:t xml:space="preserve">3.4. Категории субъектов и состав обрабатываемых данных по каждой цели — из перечня обрабатываемых персональных данных.</w:t>
      </w:r>
    </w:p>
    <w:p>
      <w:pPr>
        <w:ind w:firstLine="425"/>
      </w:pPr>
      <w:r>
        <w:t xml:space="preserve">3.5. Правовые основания обработки по каждой цели со ссылкой на конкретную норму или на согласие субъекта (ст. 6 152-ФЗ).</w:t>
      </w:r>
    </w:p>
    <w:p>
      <w:pPr>
        <w:ind w:firstLine="425"/>
      </w:pPr>
      <w:r>
        <w:t xml:space="preserve">3.6. Перечень действий с данными и способы обработки — с указанием, ведётся ли обработка с использованием средств автоматизации.</w:t>
      </w:r>
    </w:p>
    <w:p>
      <w:pPr>
        <w:ind w:firstLine="425"/>
      </w:pPr>
      <w:r>
        <w:t xml:space="preserve">3.7. Сведения о лицах, обрабатывающих данные по поручению Оператора, и реквизиты договоров поручения.</w:t>
      </w:r>
    </w:p>
    <w:p>
      <w:pPr>
        <w:ind w:firstLine="425"/>
      </w:pPr>
      <w:r>
        <w:t xml:space="preserve">3.8. Сведения о месте нахождения баз данных на территории Российской Федерации и об условиях прекращения обработки.</w:t>
      </w:r>
    </w:p>
    <w:p>
      <w:pPr>
        <w:ind w:firstLine="425"/>
      </w:pPr>
      <w:r>
        <w:t xml:space="preserve">3.9. Сведения об ответственном за организацию обработки персональных данных и о принятых мерах защиты.</w:t>
      </w:r>
    </w:p>
    <w:p>
      <w:pPr>
        <w:pStyle w:val="ClauseHeading"/>
      </w:pPr>
      <w:r>
        <w:rPr>
          <w:b/>
        </w:rPr>
        <w:t xml:space="preserve">4. Проверка сведений перед подачей</w:t>
      </w:r>
    </w:p>
    <w:p>
      <w:pPr>
        <w:ind w:firstLine="425"/>
      </w:pPr>
      <w:r>
        <w:t xml:space="preserve">4.1. Исполнитель сверяет собранные сведения с фактической обработкой и с текстом политики обработки персональных данных: расхождение между уведомлением и политикой выявляется при первой же проверке.</w:t>
      </w:r>
    </w:p>
    <w:p>
      <w:pPr>
        <w:ind w:firstLine="425"/>
      </w:pPr>
      <w:r>
        <w:t xml:space="preserve">4.2. Исполнитель проверяет, что каждая заявленная цель обеспечена правовым основанием, а состав данных по цели не избыточен (ст. 5 152-ФЗ).</w:t>
      </w:r>
    </w:p>
    <w:p>
      <w:pPr>
        <w:ind w:firstLine="425"/>
      </w:pPr>
      <w:r>
        <w:t xml:space="preserve">4.3. Исполнитель проверяет, что перечень категорий субъектов включает все фактические группы: работников, кандидатов, клиентов, контрагентов — физических лиц и их представителей, посетителей сайта.</w:t>
      </w:r>
    </w:p>
    <w:p>
      <w:pPr>
        <w:ind w:firstLine="425"/>
      </w:pPr>
      <w:r>
        <w:t xml:space="preserve">4.4. Исполнитель фиксирует результат проверки служебной запиской на имя руководителя с приложением проекта уведомления и получает согласование до подачи.</w:t>
      </w:r>
    </w:p>
    <w:p>
      <w:pPr>
        <w:ind w:firstLine="425"/>
      </w:pPr>
      <w:r>
        <w:t xml:space="preserve">4.5. Проект уведомления и согласование хранятся в деле по взаимодействию с уполномоченным органом.</w:t>
      </w:r>
    </w:p>
    <w:p>
      <w:pPr>
        <w:pStyle w:val="ClauseHeading"/>
      </w:pPr>
      <w:r>
        <w:rPr>
          <w:b/>
        </w:rPr>
        <w:t xml:space="preserve">5. Порядок подачи уведомления</w:t>
      </w:r>
    </w:p>
    <w:p>
      <w:pPr>
        <w:ind w:firstLine="425"/>
      </w:pPr>
      <w:r>
        <w:t xml:space="preserve">5.1. Уведомление подаётся в электронной форме через личный кабинет оператора на портале уполномоченного органа либо на бумажном носителе в территориальный орган ______.</w:t>
      </w:r>
    </w:p>
    <w:p>
      <w:pPr>
        <w:ind w:firstLine="425"/>
      </w:pPr>
      <w:r>
        <w:t xml:space="preserve">5.2. Для подачи в электронной форме исполнитель обеспечивает доступ к личному кабинету и наличие действующей усиленной квалифицированной электронной подписи руководителя либо доверенности на подписание (ст. 6 63-ФЗ).</w:t>
      </w:r>
    </w:p>
    <w:p>
      <w:pPr>
        <w:ind w:firstLine="425"/>
      </w:pPr>
      <w:r>
        <w:t xml:space="preserve">5.3. Исполнитель заполняет форму уведомления сведениями, проверенными и согласованными в порядке, установленном настоящей Инструкцией, и подписывает её электронной подписью уполномоченного лица.</w:t>
      </w:r>
    </w:p>
    <w:p>
      <w:pPr>
        <w:ind w:firstLine="425"/>
      </w:pPr>
      <w:r>
        <w:t xml:space="preserve">5.4. После отправки исполнитель сохраняет квитанцию о приёме уведомления, присвоенный входящий номер и дату отправки.</w:t>
      </w:r>
    </w:p>
    <w:p>
      <w:pPr>
        <w:ind w:firstLine="425"/>
      </w:pPr>
      <w:r>
        <w:t xml:space="preserve">5.5. Копия поданного уведомления, квитанция и подтверждение подписания подшиваются в дело по взаимодействию с уполномоченным органом и хранятся весь период обработки персональных данных.</w:t>
      </w:r>
    </w:p>
    <w:p>
      <w:pPr>
        <w:pStyle w:val="ClauseHeading"/>
      </w:pPr>
      <w:r>
        <w:rPr>
          <w:b/>
        </w:rPr>
        <w:t xml:space="preserve">6. Действия после подачи уведомления</w:t>
      </w:r>
    </w:p>
    <w:p>
      <w:pPr>
        <w:ind w:firstLine="425"/>
      </w:pPr>
      <w:r>
        <w:t xml:space="preserve">6.1. Исполнитель контролирует включение Оператора в реестр операторов и получение регистрационного номера.</w:t>
      </w:r>
    </w:p>
    <w:p>
      <w:pPr>
        <w:ind w:firstLine="425"/>
      </w:pPr>
      <w:r>
        <w:t xml:space="preserve">6.2. Если по истечении тридцати дней со дня подачи сведения в реестре не появились, исполнитель направляет запрос о ходе рассмотрения уведомления с указанием даты отправки и входящего номера.</w:t>
      </w:r>
    </w:p>
    <w:p>
      <w:pPr>
        <w:ind w:firstLine="425"/>
      </w:pPr>
      <w:r>
        <w:t xml:space="preserve">6.3. Получив регистрационный номер, исполнитель вносит его в дело, сообщает руководителю и обеспечивает указание номера в исходящей переписке с уполномоченным органом.</w:t>
      </w:r>
    </w:p>
    <w:p>
      <w:pPr>
        <w:ind w:firstLine="425"/>
      </w:pPr>
      <w:r>
        <w:t xml:space="preserve">6.4. Исполнитель проверяет корректность опубликованных в реестре сведений и при обнаружении ошибки направляет информационное письмо об уточнении.</w:t>
      </w:r>
    </w:p>
    <w:p>
      <w:pPr>
        <w:ind w:firstLine="425"/>
      </w:pPr>
      <w:r>
        <w:t xml:space="preserve">6.5. Сведения о регистрации Оператора в реестре доводятся до подразделений, ведущих договорную работу, — они ссылаются на них при заключении договоров, требующих подтверждения статуса оператора.</w:t>
      </w:r>
    </w:p>
    <w:p>
      <w:pPr>
        <w:pStyle w:val="ClauseHeading"/>
      </w:pPr>
      <w:r>
        <w:rPr>
          <w:b/>
        </w:rPr>
        <w:t xml:space="preserve">7. Информационное письмо об изменении сведений</w:t>
      </w:r>
    </w:p>
    <w:p>
      <w:pPr>
        <w:ind w:firstLine="425"/>
      </w:pPr>
      <w:r>
        <w:t xml:space="preserve">7.1. Исполнитель направляет информационное письмо об изменении ранее поданных сведений не позднее десяти рабочих дней со дня изменения.</w:t>
      </w:r>
    </w:p>
    <w:p>
      <w:pPr>
        <w:ind w:firstLine="425"/>
      </w:pPr>
      <w:r>
        <w:t xml:space="preserve">7.2. Изменением признаётся смена наименования, адреса или контактных данных Оператора, смена лица, ответственного за организацию обработки персональных данных, появление новой цели обработки или новой категории субъектов, изменение состава обрабатываемых данных, начало или прекращение трансграничной передачи, изменение места нахождения баз данных, привлечение нового лица, обрабатывающего данные по поручению.</w:t>
      </w:r>
    </w:p>
    <w:p>
      <w:pPr>
        <w:ind w:firstLine="425"/>
      </w:pPr>
      <w:r>
        <w:t xml:space="preserve">7.3. Руководители подразделений сообщают исполнителю о наступлении любого из перечисленных обстоятельств в течение трёх рабочих дней со дня, когда решение принято, — до фактического начала новой обработки.</w:t>
      </w:r>
    </w:p>
    <w:p>
      <w:pPr>
        <w:ind w:firstLine="425"/>
      </w:pPr>
      <w:r>
        <w:t xml:space="preserve">7.4. Исполнитель включает контроль изменений в ежеквартальную сверку сведений реестра и фиксирует результат сверки в деле.</w:t>
      </w:r>
    </w:p>
    <w:p>
      <w:pPr>
        <w:ind w:firstLine="425"/>
      </w:pPr>
      <w:r>
        <w:t xml:space="preserve">7.5. Пропуск срока направления письма исполнитель фиксирует в служебной записке с указанием причины: сведения понадобятся при рассмотрении вопроса об ответственности.</w:t>
      </w:r>
    </w:p>
    <w:p>
      <w:pPr>
        <w:pStyle w:val="ClauseHeading"/>
      </w:pPr>
      <w:r>
        <w:rPr>
          <w:b/>
        </w:rPr>
        <w:t xml:space="preserve">8. Порядок действий при получении запроса уполномоченного органа</w:t>
      </w:r>
    </w:p>
    <w:p>
      <w:pPr>
        <w:ind w:firstLine="425"/>
      </w:pPr>
      <w:r>
        <w:t xml:space="preserve">8.1. Работник, получивший письмо, запрос или требование уполномоченного органа в любой форме, в том числе по электронной почте или в личном кабинете, в тот же рабочий день передаёт его исполнителю.</w:t>
      </w:r>
    </w:p>
    <w:p>
      <w:pPr>
        <w:ind w:firstLine="425"/>
      </w:pPr>
      <w:r>
        <w:t xml:space="preserve">8.2. Исполнитель регистрирует документ в день поступления, определяет срок ответа по тексту запроса и, если срок не указан, исчисляет его как десять рабочих дней со дня получения.</w:t>
      </w:r>
    </w:p>
    <w:p>
      <w:pPr>
        <w:ind w:firstLine="425"/>
      </w:pPr>
      <w:r>
        <w:t xml:space="preserve">8.3. Исполнитель докладывает о запросе руководителю в день регистрации и определяет подразделения, у которых запрашиваются сведения; подразделения представляют сведения не позднее чем за три рабочих дня до истечения срока ответа.</w:t>
      </w:r>
    </w:p>
    <w:p>
      <w:pPr>
        <w:ind w:firstLine="425"/>
      </w:pPr>
      <w:r>
        <w:t xml:space="preserve">8.4. Исполнитель готовит ответ, комплектует приложения по описи и согласовывает его с руководителем.</w:t>
      </w:r>
    </w:p>
    <w:p>
      <w:pPr>
        <w:ind w:firstLine="425"/>
      </w:pPr>
      <w:r>
        <w:t xml:space="preserve">8.5. Ответ подписывает руководитель или уполномоченное доверенностью лицо.</w:t>
      </w:r>
    </w:p>
    <w:p>
      <w:pPr>
        <w:ind w:firstLine="425"/>
      </w:pPr>
      <w:r>
        <w:t xml:space="preserve">8.6. Ответ направляется способом, обеспечивающим подтверждение доставки, с указанием регистрационного номера Оператора и реквизитов запроса.</w:t>
      </w:r>
    </w:p>
    <w:p>
      <w:pPr>
        <w:ind w:firstLine="425"/>
      </w:pPr>
      <w:r>
        <w:t xml:space="preserve">8.7. Копия ответа с отметкой об отправке подшивается в дело.</w:t>
      </w:r>
    </w:p>
    <w:p>
      <w:pPr>
        <w:ind w:firstLine="425"/>
      </w:pPr>
      <w:r>
        <w:t xml:space="preserve">8.8. Если сведения к сроку собрать невозможно, исполнитель до истечения срока направляет мотивированное ходатайство о продлении с указанием причины и предлагаемой даты представления сведений.</w:t>
      </w:r>
    </w:p>
    <w:p>
      <w:pPr>
        <w:ind w:firstLine="425"/>
      </w:pPr>
      <w:r>
        <w:t xml:space="preserve">8.9. Непредставление или несвоевременное представление сведений по запросу образует состав административного правонарушения (ст. 19.7 КоАП РФ).</w:t>
      </w:r>
    </w:p>
    <w:p>
      <w:pPr>
        <w:pStyle w:val="ClauseHeading"/>
      </w:pPr>
      <w:r>
        <w:rPr>
          <w:b/>
        </w:rPr>
        <w:t xml:space="preserve">9. Комплект документов, который исполнитель держит наготове</w:t>
      </w:r>
    </w:p>
    <w:p>
      <w:pPr>
        <w:ind w:firstLine="425"/>
      </w:pPr>
      <w:r>
        <w:t xml:space="preserve">9.1. Исполнитель поддерживает в актуальном состоянии комплект документов, предъявляемых при проверке, и проверяет его состав не реже одного раза в полгода (ст. 18.1 152-ФЗ).</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901"/>
        <w:gridCol w:w="4738"/>
      </w:tblGrid>
      <w:tr>
        <w:tc>
          <w:tcPr>
            <w:tcW w:w="2542" w:type="pct"/>
            <w:vAlign w:val="center"/>
          </w:tcPr>
          <w:p>
            <w:pPr>
              <w:jc w:val="center"/>
              <w:ind w:firstLine="0"/>
            </w:pPr>
            <w:r>
              <w:rPr>
                <w:b/>
              </w:rPr>
              <w:t xml:space="preserve">Документ</w:t>
            </w:r>
          </w:p>
        </w:tc>
        <w:tc>
          <w:tcPr>
            <w:tcW w:w="2458" w:type="pct"/>
            <w:vAlign w:val="center"/>
          </w:tcPr>
          <w:p>
            <w:pPr>
              <w:jc w:val="center"/>
              <w:ind w:firstLine="0"/>
            </w:pPr>
            <w:r>
              <w:rPr>
                <w:b/>
              </w:rPr>
              <w:t xml:space="preserve">Чем подтверждается актуальность</w:t>
            </w:r>
          </w:p>
        </w:tc>
      </w:tr>
      <w:tr>
        <w:tc>
          <w:tcPr>
            <w:tcW w:w="2542" w:type="pct"/>
            <w:vAlign w:val="center"/>
          </w:tcPr>
          <w:p>
            <w:pPr>
              <w:jc w:val="left"/>
              <w:ind w:firstLine="0"/>
            </w:pPr>
            <w:r>
              <w:t xml:space="preserve">Политика обработки персональных данных</w:t>
            </w:r>
          </w:p>
        </w:tc>
        <w:tc>
          <w:tcPr>
            <w:tcW w:w="2458" w:type="pct"/>
            <w:vAlign w:val="center"/>
          </w:tcPr>
          <w:p>
            <w:pPr>
              <w:jc w:val="left"/>
              <w:ind w:firstLine="0"/>
            </w:pPr>
            <w:r>
              <w:t xml:space="preserve">опубликована на сайте, дата редакции совпадает с приказом</w:t>
            </w:r>
          </w:p>
        </w:tc>
      </w:tr>
      <w:tr>
        <w:tc>
          <w:tcPr>
            <w:tcW w:w="2542" w:type="pct"/>
            <w:vAlign w:val="center"/>
          </w:tcPr>
          <w:p>
            <w:pPr>
              <w:jc w:val="left"/>
              <w:ind w:firstLine="0"/>
            </w:pPr>
            <w:r>
              <w:t xml:space="preserve">Приказ о назначении ответственного за организацию обработки</w:t>
            </w:r>
          </w:p>
        </w:tc>
        <w:tc>
          <w:tcPr>
            <w:tcW w:w="2458" w:type="pct"/>
            <w:vAlign w:val="center"/>
          </w:tcPr>
          <w:p>
            <w:pPr>
              <w:jc w:val="left"/>
              <w:ind w:firstLine="0"/>
            </w:pPr>
            <w:r>
              <w:t xml:space="preserve">подпись ознакомления назначенного работника</w:t>
            </w:r>
          </w:p>
        </w:tc>
      </w:tr>
      <w:tr>
        <w:tc>
          <w:tcPr>
            <w:tcW w:w="2542" w:type="pct"/>
            <w:vAlign w:val="center"/>
          </w:tcPr>
          <w:p>
            <w:pPr>
              <w:jc w:val="left"/>
              <w:ind w:firstLine="0"/>
            </w:pPr>
            <w:r>
              <w:t xml:space="preserve">Перечень обрабатываемых данных и целей обработки</w:t>
            </w:r>
          </w:p>
        </w:tc>
        <w:tc>
          <w:tcPr>
            <w:tcW w:w="2458" w:type="pct"/>
            <w:vAlign w:val="center"/>
          </w:tcPr>
          <w:p>
            <w:pPr>
              <w:jc w:val="left"/>
              <w:ind w:firstLine="0"/>
            </w:pPr>
            <w:r>
              <w:t xml:space="preserve">совпадает со сведениями уведомления</w:t>
            </w:r>
          </w:p>
        </w:tc>
      </w:tr>
      <w:tr>
        <w:tc>
          <w:tcPr>
            <w:tcW w:w="2542" w:type="pct"/>
            <w:vAlign w:val="center"/>
          </w:tcPr>
          <w:p>
            <w:pPr>
              <w:jc w:val="left"/>
              <w:ind w:firstLine="0"/>
            </w:pPr>
            <w:r>
              <w:t xml:space="preserve">Приказ о допуске работников к обработке</w:t>
            </w:r>
          </w:p>
        </w:tc>
        <w:tc>
          <w:tcPr>
            <w:tcW w:w="2458" w:type="pct"/>
            <w:vAlign w:val="center"/>
          </w:tcPr>
          <w:p>
            <w:pPr>
              <w:jc w:val="left"/>
              <w:ind w:firstLine="0"/>
            </w:pPr>
            <w:r>
              <w:t xml:space="preserve">список актуален по действующему штату</w:t>
            </w:r>
          </w:p>
        </w:tc>
      </w:tr>
      <w:tr>
        <w:tc>
          <w:tcPr>
            <w:tcW w:w="2542" w:type="pct"/>
            <w:vAlign w:val="center"/>
          </w:tcPr>
          <w:p>
            <w:pPr>
              <w:jc w:val="left"/>
              <w:ind w:firstLine="0"/>
            </w:pPr>
            <w:r>
              <w:t xml:space="preserve">Согласия субъектов и обязательства о неразглашении</w:t>
            </w:r>
          </w:p>
        </w:tc>
        <w:tc>
          <w:tcPr>
            <w:tcW w:w="2458" w:type="pct"/>
            <w:vAlign w:val="center"/>
          </w:tcPr>
          <w:p>
            <w:pPr>
              <w:jc w:val="left"/>
              <w:ind w:firstLine="0"/>
            </w:pPr>
            <w:r>
              <w:t xml:space="preserve">наличие по каждой цели, где требуется согласие</w:t>
            </w:r>
          </w:p>
        </w:tc>
      </w:tr>
      <w:tr>
        <w:tc>
          <w:tcPr>
            <w:tcW w:w="2542" w:type="pct"/>
            <w:vAlign w:val="center"/>
          </w:tcPr>
          <w:p>
            <w:pPr>
              <w:jc w:val="left"/>
              <w:ind w:firstLine="0"/>
            </w:pPr>
            <w:r>
              <w:t xml:space="preserve">Модель угроз и документы по уровню защищённости</w:t>
            </w:r>
          </w:p>
        </w:tc>
        <w:tc>
          <w:tcPr>
            <w:tcW w:w="2458" w:type="pct"/>
            <w:vAlign w:val="center"/>
          </w:tcPr>
          <w:p>
            <w:pPr>
              <w:jc w:val="left"/>
              <w:ind w:firstLine="0"/>
            </w:pPr>
            <w:r>
              <w:t xml:space="preserve">дата последнего пересмотра не старше года</w:t>
            </w:r>
          </w:p>
        </w:tc>
      </w:tr>
      <w:tr>
        <w:tc>
          <w:tcPr>
            <w:tcW w:w="2542" w:type="pct"/>
            <w:vAlign w:val="center"/>
          </w:tcPr>
          <w:p>
            <w:pPr>
              <w:jc w:val="left"/>
              <w:ind w:firstLine="0"/>
            </w:pPr>
            <w:r>
              <w:t xml:space="preserve">Журналы учёта обращений, инцидентов, носителей</w:t>
            </w:r>
          </w:p>
        </w:tc>
        <w:tc>
          <w:tcPr>
            <w:tcW w:w="2458" w:type="pct"/>
            <w:vAlign w:val="center"/>
          </w:tcPr>
          <w:p>
            <w:pPr>
              <w:jc w:val="left"/>
              <w:ind w:firstLine="0"/>
            </w:pPr>
            <w:r>
              <w:t xml:space="preserve">записи ведутся без пропусков</w:t>
            </w:r>
          </w:p>
        </w:tc>
      </w:tr>
      <w:tr>
        <w:tc>
          <w:tcPr>
            <w:tcW w:w="2542" w:type="pct"/>
            <w:vAlign w:val="center"/>
          </w:tcPr>
          <w:p>
            <w:pPr>
              <w:jc w:val="left"/>
              <w:ind w:firstLine="0"/>
            </w:pPr>
            <w:r>
              <w:t xml:space="preserve">Договоры поручения обработки</w:t>
            </w:r>
          </w:p>
        </w:tc>
        <w:tc>
          <w:tcPr>
            <w:tcW w:w="2458" w:type="pct"/>
            <w:vAlign w:val="center"/>
          </w:tcPr>
          <w:p>
            <w:pPr>
              <w:jc w:val="left"/>
              <w:ind w:firstLine="0"/>
            </w:pPr>
            <w:r>
              <w:t xml:space="preserve">содержат перечень действий, цели и требования к защите</w:t>
            </w:r>
          </w:p>
        </w:tc>
      </w:tr>
      <w:tr>
        <w:tc>
          <w:tcPr>
            <w:tcW w:w="2542" w:type="pct"/>
            <w:vAlign w:val="center"/>
          </w:tcPr>
          <w:p>
            <w:pPr>
              <w:jc w:val="left"/>
              <w:ind w:firstLine="0"/>
            </w:pPr>
            <w:r>
              <w:t xml:space="preserve">Акт внутреннего контроля за последний период</w:t>
            </w:r>
          </w:p>
        </w:tc>
        <w:tc>
          <w:tcPr>
            <w:tcW w:w="2458" w:type="pct"/>
            <w:vAlign w:val="center"/>
          </w:tcPr>
          <w:p>
            <w:pPr>
              <w:jc w:val="left"/>
              <w:ind w:firstLine="0"/>
            </w:pPr>
            <w:r>
              <w:t xml:space="preserve">утверждён руководителем</w:t>
            </w:r>
          </w:p>
        </w:tc>
      </w:tr>
    </w:tbl>
    <w:p/>
    <w:p>
      <w:pPr>
        <w:ind w:firstLine="425"/>
      </w:pPr>
      <w:r>
        <w:t xml:space="preserve">9.2. Комплект хранится в электронном виде и в бумажных копиях по месту нахождения исполнителя.</w:t>
      </w:r>
    </w:p>
    <w:p>
      <w:pPr>
        <w:pStyle w:val="ClauseHeading"/>
      </w:pPr>
      <w:r>
        <w:rPr>
          <w:b/>
        </w:rPr>
        <w:t xml:space="preserve">10. Ответственность исполнителя</w:t>
      </w:r>
    </w:p>
    <w:p>
      <w:pPr>
        <w:ind w:firstLine="425"/>
      </w:pPr>
      <w:r>
        <w:t xml:space="preserve">10.1. Неисполнение или ненадлежащее исполнение обязанностей, установленных настоящей Инструкцией, влечёт дисциплинарную ответственность (ст. 192 ТК РФ).</w:t>
      </w:r>
    </w:p>
    <w:p>
      <w:pPr>
        <w:ind w:firstLine="425"/>
      </w:pPr>
      <w:r>
        <w:t xml:space="preserve">10.2. Обработка персональных данных без направления уведомления, когда его направление обязательно, и нарушение порядка обработки образуют состав административного правонарушения (ст. 13.11 КоАП РФ).</w:t>
      </w:r>
    </w:p>
    <w:p>
      <w:pPr>
        <w:ind w:firstLine="425"/>
      </w:pPr>
      <w:r>
        <w:t xml:space="preserve">10.3. Непредставление либо несвоевременное представление сведений по запросу уполномоченного органа, а равно представление сведений в неполном или искажённом виде влечёт административную ответственность (ст. 19.7 КоАП РФ).</w:t>
      </w:r>
    </w:p>
    <w:p>
      <w:pPr>
        <w:ind w:firstLine="425"/>
      </w:pPr>
      <w:r>
        <w:t xml:space="preserve">10.4. Невыполнение в срок законного предписания об устранении нарушений влечёт самостоятельную административную ответственность (ст. 19.5 КоАП РФ).</w:t>
      </w:r>
    </w:p>
    <w:p>
      <w:pPr>
        <w:ind w:firstLine="425"/>
      </w:pPr>
      <w:r>
        <w:t xml:space="preserve">10.5. Привлечение работника к дисциплинарной ответственности не освобождает Оператора от ответственности перед субъектами персональных данных (ст. 24 152-ФЗ).</w:t>
      </w:r>
    </w:p>
    <w:p>
      <w:pPr>
        <w:pStyle w:val="ClauseHeading"/>
      </w:pPr>
      <w:r>
        <w:rPr>
          <w:b/>
        </w:rPr>
        <w:t xml:space="preserve">11. Контакты и справочные ресурсы</w:t>
      </w:r>
    </w:p>
    <w:p>
      <w:pPr>
        <w:ind w:firstLine="425"/>
      </w:pPr>
      <w:r>
        <w:t xml:space="preserve">11.1. Взаимодействие ведётся через личный кабинет оператора на портале уполномоченного органа и с территориальным органом ______.</w:t>
      </w:r>
    </w:p>
    <w:p>
      <w:pPr>
        <w:ind w:firstLine="425"/>
      </w:pPr>
      <w:r>
        <w:t xml:space="preserve">11.2. Контактные данные Оператора для получения корреспонденции уполномоченного органа: адрес ______, электронная почта ______, телефон ______.</w:t>
      </w:r>
    </w:p>
    <w:p>
      <w:pPr>
        <w:ind w:firstLine="425"/>
      </w:pPr>
      <w:r>
        <w:t xml:space="preserve">11.3. Эти данные поддерживаются в актуальном состоянии в реестре операторов.</w:t>
      </w:r>
    </w:p>
    <w:p>
      <w:pPr>
        <w:ind w:firstLine="425"/>
      </w:pPr>
      <w:r>
        <w:t xml:space="preserve">11.4. Ответственный за организацию обработки персональных данных: ______ ______.</w:t>
      </w:r>
    </w:p>
    <w:p>
      <w:pPr>
        <w:ind w:firstLine="425"/>
      </w:pPr>
      <w:r>
        <w:t xml:space="preserve">11.5. Замещающий работник: ______.</w:t>
      </w:r>
    </w:p>
    <w:p>
      <w:pPr>
        <w:ind w:firstLine="425"/>
      </w:pPr>
      <w:r>
        <w:t xml:space="preserve">11.6. Порядок обработки персональных данных Оператора раскрыт в политике, опубликованной на сайте ______.</w:t>
      </w:r>
    </w:p>
    <w:p>
      <w:pPr>
        <w:pStyle w:val="ClauseHeading"/>
      </w:pPr>
      <w:r>
        <w:rPr>
          <w:b/>
        </w:rPr>
        <w:t xml:space="preserve">12. Подписи</w:t>
      </w:r>
    </w:p>
    <w:p>
      <w:pPr>
        <w:ind w:firstLine="425"/>
      </w:pPr>
      <w:r>
        <w:t xml:space="preserve">12.1. Ответственный за организацию обработки персональных данных:</w:t>
      </w:r>
    </w:p>
    <w:p>
      <w:pPr>
        <w:ind w:firstLine="425"/>
      </w:pPr>
      <w:r>
        <w:t xml:space="preserve">12.2. ______ ______________</w:t>
      </w:r>
    </w:p>
    <w:p>
      <w:pPr>
        <w:ind w:firstLine="425"/>
      </w:pPr>
      <w:r>
        <w:t xml:space="preserve">12.3. ______</w:t>
      </w:r>
    </w:p>
    <w:p>
      <w:pPr>
        <w:ind w:firstLine="425"/>
      </w:pPr>
      <w:r>
        <w:t xml:space="preserve">12.4. Руководитель:</w:t>
      </w:r>
    </w:p>
    <w:p>
      <w:pPr>
        <w:ind w:firstLine="425"/>
      </w:pPr>
      <w:r>
        <w:t xml:space="preserve">12.5. ______ ______________</w:t>
      </w:r>
    </w:p>
    <w:p>
      <w:pPr>
        <w:ind w:firstLine="425"/>
      </w:pPr>
      <w:r>
        <w:t xml:space="preserve">12.6. ______</w:t>
      </w:r>
    </w:p>
    <w:p>
      <w:pPr>
        <w:pageBreakBefore/>
      </w:pPr>
    </w:p>
    <w:p>
      <w:pPr>
        <w:jc w:val="right"/>
      </w:pPr>
      <w:r>
        <w:rPr>
          <w:b/>
        </w:rPr>
        <w:t xml:space="preserve">Приложение № 1 к документу</w:t>
      </w:r>
    </w:p>
    <w:p>
      <w:pPr>
        <w:pStyle w:val="DocTitle"/>
      </w:pPr>
      <w:r>
        <w:t xml:space="preserve">Приложение № 1. Чек-лист подготовки уведомления об обработке персональных данных</w:t>
      </w:r>
    </w:p>
    <w:p>
      <w:pPr>
        <w:ind w:firstLine="425"/>
      </w:pPr>
      <w:r>
        <w:t xml:space="preserve">Заполняется исполнителем до подачи уведомления и хранится вместе с копией поданного уведомления.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3656"/>
        <w:gridCol w:w="3158"/>
        <w:gridCol w:w="1496"/>
        <w:gridCol w:w="1330"/>
      </w:tblGrid>
      <w:tr>
        <w:tc>
          <w:tcPr>
            <w:tcW w:w="1897" w:type="pct"/>
            <w:vAlign w:val="center"/>
          </w:tcPr>
          <w:p>
            <w:pPr>
              <w:jc w:val="center"/>
              <w:ind w:firstLine="0"/>
            </w:pPr>
            <w:r>
              <w:rPr>
                <w:b/>
              </w:rPr>
              <w:t xml:space="preserve">Сведение</w:t>
            </w:r>
          </w:p>
        </w:tc>
        <w:tc>
          <w:tcPr>
            <w:tcW w:w="1638" w:type="pct"/>
            <w:vAlign w:val="center"/>
          </w:tcPr>
          <w:p>
            <w:pPr>
              <w:jc w:val="center"/>
              <w:ind w:firstLine="0"/>
            </w:pPr>
            <w:r>
              <w:rPr>
                <w:b/>
              </w:rPr>
              <w:t xml:space="preserve">Источник</w:t>
            </w:r>
          </w:p>
        </w:tc>
        <w:tc>
          <w:tcPr>
            <w:tcW w:w="776" w:type="pct"/>
            <w:vAlign w:val="center"/>
          </w:tcPr>
          <w:p>
            <w:pPr>
              <w:jc w:val="center"/>
              <w:ind w:firstLine="0"/>
            </w:pPr>
            <w:r>
              <w:rPr>
                <w:b/>
              </w:rPr>
              <w:t xml:space="preserve">Проверено</w:t>
            </w:r>
          </w:p>
        </w:tc>
        <w:tc>
          <w:tcPr>
            <w:tcW w:w="690" w:type="pct"/>
            <w:vAlign w:val="center"/>
          </w:tcPr>
          <w:p>
            <w:pPr>
              <w:jc w:val="center"/>
              <w:ind w:firstLine="0"/>
            </w:pPr>
            <w:r>
              <w:rPr>
                <w:b/>
              </w:rPr>
              <w:t xml:space="preserve">Подпись</w:t>
            </w:r>
          </w:p>
        </w:tc>
      </w:tr>
      <w:tr>
        <w:tc>
          <w:tcPr>
            <w:tcW w:w="1897" w:type="pct"/>
            <w:vAlign w:val="center"/>
          </w:tcPr>
          <w:p>
            <w:pPr>
              <w:jc w:val="left"/>
              <w:ind w:firstLine="0"/>
            </w:pPr>
            <w:r>
              <w:t xml:space="preserve">Наименование, ИНН, ОГРН, адрес Оператора</w:t>
            </w:r>
          </w:p>
        </w:tc>
        <w:tc>
          <w:tcPr>
            <w:tcW w:w="1638" w:type="pct"/>
            <w:vAlign w:val="center"/>
          </w:tcPr>
          <w:p>
            <w:pPr>
              <w:jc w:val="left"/>
              <w:ind w:firstLine="0"/>
            </w:pPr>
            <w:r>
              <w:t xml:space="preserve">учредительные документы</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Цели обработки по каждому процессу</w:t>
            </w:r>
          </w:p>
        </w:tc>
        <w:tc>
          <w:tcPr>
            <w:tcW w:w="1638" w:type="pct"/>
            <w:vAlign w:val="center"/>
          </w:tcPr>
          <w:p>
            <w:pPr>
              <w:jc w:val="left"/>
              <w:ind w:firstLine="0"/>
            </w:pPr>
            <w:r>
              <w:t xml:space="preserve">политика обработки персональных данных</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Категории субъектов</w:t>
            </w:r>
          </w:p>
        </w:tc>
        <w:tc>
          <w:tcPr>
            <w:tcW w:w="1638" w:type="pct"/>
            <w:vAlign w:val="center"/>
          </w:tcPr>
          <w:p>
            <w:pPr>
              <w:jc w:val="left"/>
              <w:ind w:firstLine="0"/>
            </w:pPr>
            <w:r>
              <w:t xml:space="preserve">перечень обрабатываемых данных</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Состав обрабатываемых данных по каждой цели</w:t>
            </w:r>
          </w:p>
        </w:tc>
        <w:tc>
          <w:tcPr>
            <w:tcW w:w="1638" w:type="pct"/>
            <w:vAlign w:val="center"/>
          </w:tcPr>
          <w:p>
            <w:pPr>
              <w:jc w:val="left"/>
              <w:ind w:firstLine="0"/>
            </w:pPr>
            <w:r>
              <w:t xml:space="preserve">перечень обрабатываемых данных</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Правовые основания обработки</w:t>
            </w:r>
          </w:p>
        </w:tc>
        <w:tc>
          <w:tcPr>
            <w:tcW w:w="1638" w:type="pct"/>
            <w:vAlign w:val="center"/>
          </w:tcPr>
          <w:p>
            <w:pPr>
              <w:jc w:val="left"/>
              <w:ind w:firstLine="0"/>
            </w:pPr>
            <w:r>
              <w:t xml:space="preserve">политика, договоры, согласия</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Перечень действий и способы обработки</w:t>
            </w:r>
          </w:p>
        </w:tc>
        <w:tc>
          <w:tcPr>
            <w:tcW w:w="1638" w:type="pct"/>
            <w:vAlign w:val="center"/>
          </w:tcPr>
          <w:p>
            <w:pPr>
              <w:jc w:val="left"/>
              <w:ind w:firstLine="0"/>
            </w:pPr>
            <w:r>
              <w:t xml:space="preserve">описание процессов</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Лица, обрабатывающие данные по поручению</w:t>
            </w:r>
          </w:p>
        </w:tc>
        <w:tc>
          <w:tcPr>
            <w:tcW w:w="1638" w:type="pct"/>
            <w:vAlign w:val="center"/>
          </w:tcPr>
          <w:p>
            <w:pPr>
              <w:jc w:val="left"/>
              <w:ind w:firstLine="0"/>
            </w:pPr>
            <w:r>
              <w:t xml:space="preserve">договоры поручения</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Место нахождения баз данных</w:t>
            </w:r>
          </w:p>
        </w:tc>
        <w:tc>
          <w:tcPr>
            <w:tcW w:w="1638" w:type="pct"/>
            <w:vAlign w:val="center"/>
          </w:tcPr>
          <w:p>
            <w:pPr>
              <w:jc w:val="left"/>
              <w:ind w:firstLine="0"/>
            </w:pPr>
            <w:r>
              <w:t xml:space="preserve">сведения ИТ-подразделения</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Условия прекращения обработки</w:t>
            </w:r>
          </w:p>
        </w:tc>
        <w:tc>
          <w:tcPr>
            <w:tcW w:w="1638" w:type="pct"/>
            <w:vAlign w:val="center"/>
          </w:tcPr>
          <w:p>
            <w:pPr>
              <w:jc w:val="left"/>
              <w:ind w:firstLine="0"/>
            </w:pPr>
            <w:r>
              <w:t xml:space="preserve">политика обработки персональных данных</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Сведения об ответственном и о мерах защиты</w:t>
            </w:r>
          </w:p>
        </w:tc>
        <w:tc>
          <w:tcPr>
            <w:tcW w:w="1638" w:type="pct"/>
            <w:vAlign w:val="center"/>
          </w:tcPr>
          <w:p>
            <w:pPr>
              <w:jc w:val="left"/>
              <w:ind w:firstLine="0"/>
            </w:pPr>
            <w:r>
              <w:t xml:space="preserve">приказ о назначении, модель угроз</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bl>
    <w:p/>
    <w:p>
      <w:pPr>
        <w:ind w:firstLine="425"/>
      </w:pPr>
      <w:r>
        <w:t xml:space="preserve">Проект уведомления согласован руководителем: дата ______________ подпись ______________</w:t>
      </w:r>
    </w:p>
    <w:p>
      <w:pPr>
        <w:pageBreakBefore/>
      </w:pPr>
    </w:p>
    <w:p>
      <w:pPr>
        <w:jc w:val="right"/>
      </w:pPr>
      <w:r>
        <w:rPr>
          <w:b/>
        </w:rPr>
        <w:t xml:space="preserve">Приложение № 2 к документу</w:t>
      </w:r>
    </w:p>
    <w:p>
      <w:pPr>
        <w:pStyle w:val="DocTitle"/>
      </w:pPr>
      <w:r>
        <w:t xml:space="preserve">Приложение № 2. Лист ознакомления с Инструкцией</w:t>
      </w:r>
    </w:p>
    <w:p>
      <w:pPr>
        <w:ind w:firstLine="425"/>
      </w:pPr>
      <w:r>
        <w:t xml:space="preserve">С Инструкцией по взаимодействию с уполномоченным органом по защите прав субъектов персональных данных, утверждённой приказом от ______ № ______, ознакомлены:</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73"/>
        <w:gridCol w:w="2466"/>
        <w:gridCol w:w="2690"/>
        <w:gridCol w:w="2017"/>
        <w:gridCol w:w="1793"/>
      </w:tblGrid>
      <w:tr>
        <w:tc>
          <w:tcPr>
            <w:tcW w:w="349" w:type="pct"/>
            <w:vAlign w:val="center"/>
          </w:tcPr>
          <w:p>
            <w:pPr>
              <w:jc w:val="center"/>
              <w:ind w:firstLine="0"/>
            </w:pPr>
            <w:r>
              <w:rPr>
                <w:b/>
              </w:rPr>
              <w:t xml:space="preserve">№</w:t>
            </w:r>
          </w:p>
        </w:tc>
        <w:tc>
          <w:tcPr>
            <w:tcW w:w="1279" w:type="pct"/>
            <w:vAlign w:val="center"/>
          </w:tcPr>
          <w:p>
            <w:pPr>
              <w:jc w:val="center"/>
              <w:ind w:firstLine="0"/>
            </w:pPr>
            <w:r>
              <w:rPr>
                <w:b/>
              </w:rPr>
              <w:t xml:space="preserve">Фамилия, имя, отчество</w:t>
            </w:r>
          </w:p>
        </w:tc>
        <w:tc>
          <w:tcPr>
            <w:tcW w:w="1395" w:type="pct"/>
            <w:vAlign w:val="center"/>
          </w:tcPr>
          <w:p>
            <w:pPr>
              <w:jc w:val="center"/>
              <w:ind w:firstLine="0"/>
            </w:pPr>
            <w:r>
              <w:rPr>
                <w:b/>
              </w:rPr>
              <w:t xml:space="preserve">Должность</w:t>
            </w:r>
          </w:p>
        </w:tc>
        <w:tc>
          <w:tcPr>
            <w:tcW w:w="1047" w:type="pct"/>
            <w:vAlign w:val="center"/>
          </w:tcPr>
          <w:p>
            <w:pPr>
              <w:jc w:val="center"/>
              <w:ind w:firstLine="0"/>
            </w:pPr>
            <w:r>
              <w:rPr>
                <w:b/>
              </w:rPr>
              <w:t xml:space="preserve">Дата</w:t>
            </w:r>
          </w:p>
        </w:tc>
        <w:tc>
          <w:tcPr>
            <w:tcW w:w="930" w:type="pct"/>
            <w:vAlign w:val="center"/>
          </w:tcPr>
          <w:p>
            <w:pPr>
              <w:jc w:val="center"/>
              <w:ind w:firstLine="0"/>
            </w:pPr>
            <w:r>
              <w:rPr>
                <w:b/>
              </w:rPr>
              <w:t xml:space="preserve">Подпись</w:t>
            </w: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bl>
    <w:p/>
    <w:p>
      <w:pPr>
        <w:ind w:firstLine="425"/>
      </w:pPr>
      <w:r>
        <w:t xml:space="preserve">Лист ознакомления хранится вместе с Инструкцией у ответственного за организацию обработки персональных данных.</w:t>
      </w:r>
    </w:p>
    <w:p>
      <w:pPr>
        <w:spacing w:before="360"/>
        <w:pBdr>
          <w:top w:val="single" w:sz="4" w:space="6" w:color="CCCCCC"/>
        </w:pBdr>
        <w:jc w:val="left"/>
      </w:pPr>
      <w:r>
        <w:rPr>
          <w:i/>
          <w:sz w:val="16"/>
          <w:color w:val="808080"/>
        </w:rPr>
        <w:t xml:space="preserve">Пустой бланк «Инструкция по взаимодействию с Роскомнадзором» с сайта primadoc.ru. Документ, заполненный под вашу ситуацию, собирается в конструкторе: https://primadoc.ru/doc/instrukciya-po-vzaimodeystviyu-s-roskomnadzorom</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Инструкция по взаимодействию с Роскомнадзором — пустой бланк</dc:title>
  <dc:creator>Примадок</dc:creator>
  <dcterms:created xsi:type="dcterms:W3CDTF">2026-09-12T11:37:53Z</dcterms:created>
</cp:coreProperties>
</file>