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ООО «Ромашка»</w:t>
      </w:r>
    </w:p>
    <w:p>
      <w:pPr>
        <w:jc w:val="left"/>
      </w:pPr>
      <w:r>
        <w:t xml:space="preserve">ИНН 7701234567, ОГРН 1234567890123</w:t>
      </w:r>
    </w:p>
    <w:p>
      <w:pPr>
        <w:jc w:val="left"/>
      </w:pPr>
      <w:r>
        <w:t xml:space="preserve">г. Москва, ул. Ленина, д. 1, кв. 1</w:t>
      </w:r>
    </w:p>
    <w:p>
      <w:pPr>
        <w:jc w:val="left"/>
      </w:pPr>
      <w:r>
        <w:t xml:space="preserve">УТВЕРЖДЕНО</w:t>
      </w:r>
    </w:p>
    <w:p>
      <w:pPr>
        <w:jc w:val="left"/>
      </w:pPr>
      <w:r>
        <w:t xml:space="preserve">приказом ООО «Ромашка»</w:t>
      </w:r>
    </w:p>
    <w:p>
      <w:pPr>
        <w:jc w:val="left"/>
      </w:pPr>
      <w:r>
        <w:t xml:space="preserve">от 01.01.2026 № 22-ПДн</w:t>
      </w:r>
    </w:p>
    <w:p>
      <w:pPr>
        <w:jc w:val="left"/>
      </w:pPr>
      <w:r>
        <w:t xml:space="preserve">генеральный директор ______________</w:t>
      </w:r>
    </w:p>
    <w:p>
      <w:pPr>
        <w:jc w:val="left"/>
      </w:pPr>
      <w:r>
        <w:t xml:space="preserve">Петров Пётр Петрович</w:t>
      </w:r>
    </w:p>
    <w:p>
      <w:pPr>
        <w:pStyle w:val="DocTitle"/>
      </w:pPr>
      <w:r>
        <w:t xml:space="preserve">Инструкция по применению средств защиты информации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Назначение и область применения</w:t>
      </w:r>
    </w:p>
    <w:p>
      <w:pPr>
        <w:ind w:firstLine="425"/>
      </w:pPr>
      <w:r>
        <w:t xml:space="preserve">1.1. Настоящая Инструкция устанавливает порядок применения средств защиты информации, используемых для обеспечения безопасности персональных данных в информационных системах ООО «Ромашка» (ИНН 7701234567, ОГРН 1234567890123; далее — Оператор) (ст. 19 152-ФЗ).</w:t>
      </w:r>
    </w:p>
    <w:p>
      <w:pPr>
        <w:ind w:firstLine="425"/>
      </w:pPr>
      <w:r>
        <w:t xml:space="preserve">1.2. Средством защиты информации по настоящей Инструкции признаётся программное, программно-аппаратное или техническое средство, предназначенное для предотвращения несанкционированного доступа к персональным данным, их изменения, копирования, распространения или уничтожения.</w:t>
      </w:r>
    </w:p>
    <w:p>
      <w:pPr>
        <w:ind w:firstLine="425"/>
      </w:pPr>
      <w:r>
        <w:t xml:space="preserve">1.3. Инструкция обязательна для администратора безопасности, работников, обслуживающих информационные системы, и пользователей, на рабочих местах которых установлены средства защиты.</w:t>
      </w:r>
    </w:p>
    <w:p>
      <w:pPr>
        <w:ind w:firstLine="425"/>
      </w:pPr>
      <w:r>
        <w:t xml:space="preserve">1.4. Состав применяемых средств защиты определяется исходя из установленного уровня защищённости информационных систем и утверждённой модели угроз (ПП РФ 1119 —).</w:t>
      </w:r>
    </w:p>
    <w:p>
      <w:pPr>
        <w:ind w:firstLine="425"/>
      </w:pPr>
      <w:r>
        <w:t xml:space="preserve">1.5. Ответственным за организацию применения средств защиты является генеральный директор Иванов Иван Иванович.</w:t>
      </w:r>
    </w:p>
    <w:p>
      <w:pPr>
        <w:ind w:firstLine="425"/>
      </w:pPr>
      <w:r>
        <w:t xml:space="preserve">1.6. Установку, настройку, обновление и контроль средств защиты выполняет системный администратор Сидоров Сидор Сидорович (далее — администратор безопасности).</w:t>
      </w:r>
    </w:p>
    <w:p>
      <w:pPr>
        <w:ind w:firstLine="425"/>
      </w:pPr>
      <w:r>
        <w:t xml:space="preserve">1.7. Инструкция не заменяет эксплуатационную документацию изготовителя средства защиты: при противоречии применяются требования, обеспечивающие более высокий уровень защиты.</w:t>
      </w:r>
    </w:p>
    <w:p>
      <w:pPr>
        <w:pStyle w:val="ClauseHeading"/>
      </w:pPr>
      <w:r>
        <w:rPr>
          <w:b/>
        </w:rPr>
        <w:t xml:space="preserve">2. Состав применяемых средств защиты</w:t>
      </w:r>
    </w:p>
    <w:p>
      <w:pPr>
        <w:ind w:firstLine="425"/>
      </w:pPr>
      <w:r>
        <w:t xml:space="preserve">2.1. Перечень применяемых средств защиты информации ведёт администратор безопасности и актуализирует его при каждом изменении состава средств.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57"/>
        <w:gridCol w:w="1666"/>
        <w:gridCol w:w="3213"/>
        <w:gridCol w:w="1785"/>
        <w:gridCol w:w="2618"/>
      </w:tblGrid>
      <w:tr>
        <w:tc>
          <w:tcPr>
            <w:tcW w:w="1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Средство защиты</w:t>
            </w:r>
          </w:p>
        </w:tc>
        <w:tc>
          <w:tcPr>
            <w:tcW w:w="1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Назначение</w:t>
            </w:r>
          </w:p>
        </w:tc>
        <w:tc>
          <w:tcPr>
            <w:tcW w:w="9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Сертификат или лицензия</w:t>
            </w:r>
          </w:p>
        </w:tc>
        <w:tc>
          <w:tcPr>
            <w:tcW w:w="13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Где установлено</w:t>
            </w:r>
          </w:p>
        </w:tc>
      </w:tr>
      <w:tr>
        <w:tc>
          <w:tcPr>
            <w:tcW w:w="185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864" w:type="pct"/>
            <w:vAlign w:val="center"/>
          </w:tcPr>
          <w:p>
            <w:pPr>
              <w:jc w:val="left"/>
              <w:ind w:firstLine="0"/>
            </w:pPr>
            <w:r>
              <w:t xml:space="preserve">средство антивирусной защиты</w:t>
            </w: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  <w:r>
              <w:t xml:space="preserve">защита рабочих станций и серверов от вредоносного кода</w:t>
            </w: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  <w:r>
              <w:t xml:space="preserve">сертификат соответствия № 1234</w:t>
            </w:r>
          </w:p>
        </w:tc>
        <w:tc>
          <w:tcPr>
            <w:tcW w:w="1358" w:type="pct"/>
            <w:vAlign w:val="center"/>
          </w:tcPr>
          <w:p>
            <w:pPr>
              <w:jc w:val="left"/>
              <w:ind w:firstLine="0"/>
            </w:pPr>
            <w:r>
              <w:t xml:space="preserve">рабочие станции бухгалтерии, файловый сервер</w:t>
            </w:r>
          </w:p>
        </w:tc>
      </w:tr>
      <w:tr>
        <w:tc>
          <w:tcPr>
            <w:tcW w:w="185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8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85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8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85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8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85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8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85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8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85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8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85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8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2.2. Применяются средства защиты, прошедшие в установленном порядке процедуру оценки соответствия, если применение таких средств требуется для установленного уровня защищённости (Приказ ФСТЭК 21 —).</w:t>
      </w:r>
    </w:p>
    <w:p>
      <w:pPr>
        <w:ind w:firstLine="425"/>
      </w:pPr>
      <w:r>
        <w:t xml:space="preserve">2.3. Средства защиты приобретаются у изготовителя или его официального представителя.</w:t>
      </w:r>
    </w:p>
    <w:p>
      <w:pPr>
        <w:ind w:firstLine="425"/>
      </w:pPr>
      <w:r>
        <w:t xml:space="preserve">2.4. Использование средств защиты, полученных из непроверенных источников, а также средств с истёкшим сроком действия лицензии не допускается.</w:t>
      </w:r>
    </w:p>
    <w:p>
      <w:pPr>
        <w:ind w:firstLine="425"/>
      </w:pPr>
      <w:r>
        <w:t xml:space="preserve">2.5. Копии сертификатов, лицензий и эксплуатационной документации хранятся у администратора безопасности и предъявляются при контрольных мероприятиях.</w:t>
      </w:r>
    </w:p>
    <w:p>
      <w:pPr>
        <w:pStyle w:val="ClauseHeading"/>
      </w:pPr>
      <w:r>
        <w:rPr>
          <w:b/>
        </w:rPr>
        <w:t xml:space="preserve">3. Ввод средства защиты в эксплуатацию</w:t>
      </w:r>
    </w:p>
    <w:p>
      <w:pPr>
        <w:ind w:firstLine="425"/>
      </w:pPr>
      <w:r>
        <w:t xml:space="preserve">3.1. Средство защиты вводится в эксплуатацию по решению руководителя на основании служебной записки ответственного за организацию обработки персональных данных.</w:t>
      </w:r>
    </w:p>
    <w:p>
      <w:pPr>
        <w:ind w:firstLine="425"/>
      </w:pPr>
      <w:r>
        <w:t xml:space="preserve">3.2. Администратор безопасности проверяет комплектность поставки, соответствие серийных номеров сопроводительным документам и наличие действующего сертификата или лицензии.</w:t>
      </w:r>
    </w:p>
    <w:p>
      <w:pPr>
        <w:ind w:firstLine="425"/>
      </w:pPr>
      <w:r>
        <w:t xml:space="preserve">3.3. Администратор безопасности проверяет подлинность дистрибутива средства защиты по контрольным суммам, опубликованным изготовителем, до его установки.</w:t>
      </w:r>
    </w:p>
    <w:p>
      <w:pPr>
        <w:ind w:firstLine="425"/>
      </w:pPr>
      <w:r>
        <w:t xml:space="preserve">3.4. Установка и настройка производятся в соответствии с эксплуатационной документацией изготовителя и с параметрами, обеспечивающими нейтрализацию угроз, признанных актуальными в модели угроз.</w:t>
      </w:r>
    </w:p>
    <w:p>
      <w:pPr>
        <w:ind w:firstLine="425"/>
      </w:pPr>
      <w:r>
        <w:t xml:space="preserve">3.5. После настройки проводится проверка работоспособности: администратор безопасности убеждается, что средство запускается при загрузке, применяет заданные настройки и регистрирует события в журнале.</w:t>
      </w:r>
    </w:p>
    <w:p>
      <w:pPr>
        <w:ind w:firstLine="425"/>
      </w:pPr>
      <w:r>
        <w:t xml:space="preserve">3.6. Ввод в эксплуатацию оформляется актом, который подписывают администратор безопасности и ответственный за организацию обработки персональных данных и утверждает руководитель.</w:t>
      </w:r>
    </w:p>
    <w:p>
      <w:pPr>
        <w:ind w:firstLine="425"/>
      </w:pPr>
      <w:r>
        <w:t xml:space="preserve">3.7. Сведения о вводе вносятся в журнал учёта средств защиты.</w:t>
      </w:r>
    </w:p>
    <w:p>
      <w:pPr>
        <w:ind w:firstLine="425"/>
      </w:pPr>
      <w:r>
        <w:t xml:space="preserve">3.8. Обработка персональных данных в информационной системе до завершения ввода средств защиты в эксплуатацию не допускается.</w:t>
      </w:r>
    </w:p>
    <w:p>
      <w:pPr>
        <w:pStyle w:val="ClauseHeading"/>
      </w:pPr>
      <w:r>
        <w:rPr>
          <w:b/>
        </w:rPr>
        <w:t xml:space="preserve">4. Поэкземплярный учёт средств защиты</w:t>
      </w:r>
    </w:p>
    <w:p>
      <w:pPr>
        <w:ind w:firstLine="425"/>
      </w:pPr>
      <w:r>
        <w:t xml:space="preserve">4.1. Каждый экземпляр средства защиты подлежит учёту в журнале учёта средств защиты информации и ключевых носителей.</w:t>
      </w:r>
    </w:p>
    <w:p>
      <w:pPr>
        <w:ind w:firstLine="425"/>
      </w:pPr>
      <w:r>
        <w:t xml:space="preserve">4.2. В журнале фиксируются: наименование и версия средства, серийный или регистрационный номер экземпляра, реквизиты сертификата или лицензии, дата получения и от кого получено, место установки, дата ввода в эксплуатацию, лицо, за которым закреплён экземпляр.</w:t>
      </w:r>
    </w:p>
    <w:p>
      <w:pPr>
        <w:ind w:firstLine="425"/>
      </w:pPr>
      <w:r>
        <w:t xml:space="preserve">4.3. Экземпляр средства защиты закрепляется за конкретным работником под подпись.</w:t>
      </w:r>
    </w:p>
    <w:p>
      <w:pPr>
        <w:ind w:firstLine="425"/>
      </w:pPr>
      <w:r>
        <w:t xml:space="preserve">4.4. Передача экземпляра другому работнику оформляется записью в журнале.</w:t>
      </w:r>
    </w:p>
    <w:p>
      <w:pPr>
        <w:ind w:firstLine="425"/>
      </w:pPr>
      <w:r>
        <w:t xml:space="preserve">4.5. Дистрибутивы и лицензионные ключи хранятся в запираемом шкафу или в защищённом хранилище с ограниченным доступом; доступ к ним имеет администратор безопасности.</w:t>
      </w:r>
    </w:p>
    <w:p>
      <w:pPr>
        <w:ind w:firstLine="425"/>
      </w:pPr>
      <w:r>
        <w:t xml:space="preserve">4.6. Инвентаризация средств защиты проводится не реже одного раза в год одновременно с проверкой актуальности лицензий и сертификатов; результат оформляется актом.</w:t>
      </w:r>
    </w:p>
    <w:p>
      <w:pPr>
        <w:ind w:firstLine="425"/>
      </w:pPr>
      <w:r>
        <w:t xml:space="preserve">4.7. Расхождение фактического наличия экземпляров с данными журнала рассматривается как инцидент и подлежит расследованию.</w:t>
      </w:r>
    </w:p>
    <w:p>
      <w:pPr>
        <w:pStyle w:val="ClauseHeading"/>
      </w:pPr>
      <w:r>
        <w:rPr>
          <w:b/>
        </w:rPr>
        <w:t xml:space="preserve">5. Ключевые носители и ключевая информация</w:t>
      </w:r>
    </w:p>
    <w:p>
      <w:pPr>
        <w:ind w:firstLine="425"/>
      </w:pPr>
      <w:r>
        <w:t xml:space="preserve">5.1. Ключевые носители — устройства, содержащие ключевую информацию криптографических средств защиты, — учитываются в журнале учёта средств защиты и ключевых носителей поэкземплярно.</w:t>
      </w:r>
    </w:p>
    <w:p>
      <w:pPr>
        <w:ind w:firstLine="425"/>
      </w:pPr>
      <w:r>
        <w:t xml:space="preserve">5.2. Ключевой носитель выдаётся работнику под подпись и закрепляется за ним персонально.</w:t>
      </w:r>
    </w:p>
    <w:p>
      <w:pPr>
        <w:ind w:firstLine="425"/>
      </w:pPr>
      <w:r>
        <w:t xml:space="preserve">5.3. Передача носителя другому работнику, в том числе на время отпуска, не допускается.</w:t>
      </w:r>
    </w:p>
    <w:p>
      <w:pPr>
        <w:ind w:firstLine="425"/>
      </w:pPr>
      <w:r>
        <w:t xml:space="preserve">5.4. Ключевой носитель хранится в сейфе или в запираемом металлическом шкафу и не оставляется подключённым к средству вычислительной техники без необходимости.</w:t>
      </w:r>
    </w:p>
    <w:p>
      <w:pPr>
        <w:ind w:firstLine="425"/>
      </w:pPr>
      <w:r>
        <w:t xml:space="preserve">5.5. Копирование ключевой информации на иные носители, в файловые хранилища и в облачные сервисы запрещается.</w:t>
      </w:r>
    </w:p>
    <w:p>
      <w:pPr>
        <w:ind w:firstLine="425"/>
      </w:pPr>
      <w:r>
        <w:t xml:space="preserve">5.6. При увольнении, переводе или изменении должностных обязанностей работник сдаёт ключевой носитель администратору безопасности в день наступления соответствующего события.</w:t>
      </w:r>
    </w:p>
    <w:p>
      <w:pPr>
        <w:ind w:firstLine="425"/>
      </w:pPr>
      <w:r>
        <w:t xml:space="preserve">5.7. Об утрате ключевого носителя или о подозрении на компрометацию ключевой информации работник немедленно сообщает администратору безопасности и ответственному.</w:t>
      </w:r>
    </w:p>
    <w:p>
      <w:pPr>
        <w:ind w:firstLine="425"/>
      </w:pPr>
      <w:r>
        <w:t xml:space="preserve">5.8. Скомпрометированные ключи выводятся из действия немедленно, а носитель уничтожается с составлением акта (ст. 7 152-ФЗ).</w:t>
      </w:r>
    </w:p>
    <w:p>
      <w:pPr>
        <w:pStyle w:val="ClauseHeading"/>
      </w:pPr>
      <w:r>
        <w:rPr>
          <w:b/>
        </w:rPr>
        <w:t xml:space="preserve">6. Правила эксплуатации и запрет отключения</w:t>
      </w:r>
    </w:p>
    <w:p>
      <w:pPr>
        <w:ind w:firstLine="425"/>
      </w:pPr>
      <w:r>
        <w:t xml:space="preserve">6.1. Настройку средств защиты и изменение их параметров производит только администратор безопасности.</w:t>
      </w:r>
    </w:p>
    <w:p>
      <w:pPr>
        <w:ind w:firstLine="425"/>
      </w:pPr>
      <w:r>
        <w:t xml:space="preserve">6.2. Пользователям права на изменение настроек не предоставляются.</w:t>
      </w:r>
    </w:p>
    <w:p>
      <w:pPr>
        <w:ind w:firstLine="425"/>
      </w:pPr>
      <w:r>
        <w:t xml:space="preserve">6.3. Отключение, приостановка, удаление средства защиты и изменение его настроек без письменного разрешения ответственного за организацию обработки персональных данных запрещаются.</w:t>
      </w:r>
    </w:p>
    <w:p>
      <w:pPr>
        <w:ind w:firstLine="425"/>
      </w:pPr>
      <w:r>
        <w:t xml:space="preserve">6.4. Запрещается завершать процессы средства защиты, исключать каталоги и файлы из области проверки, отключать регистрацию событий и очищать журналы событий.</w:t>
      </w:r>
    </w:p>
    <w:p>
      <w:pPr>
        <w:ind w:firstLine="425"/>
      </w:pPr>
      <w:r>
        <w:t xml:space="preserve">6.5. Запрещается использовать средства обхода защиты, подменять системные компоненты и запускать программы, изменяющие параметры операционной системы, влияющие на работу средств защиты.</w:t>
      </w:r>
    </w:p>
    <w:p>
      <w:pPr>
        <w:ind w:firstLine="425"/>
      </w:pPr>
      <w:r>
        <w:t xml:space="preserve">6.6. Временное отключение средства защиты для проведения регламентных работ допускается по письменному разрешению с указанием причины, срока и лица, выполняющего работы.</w:t>
      </w:r>
    </w:p>
    <w:p>
      <w:pPr>
        <w:ind w:firstLine="425"/>
      </w:pPr>
      <w:r>
        <w:t xml:space="preserve">6.7. На время отключения обработка персональных данных в соответствующей системе приостанавливается, а факт отключения фиксируется в журнале контроля.</w:t>
      </w:r>
    </w:p>
    <w:p>
      <w:pPr>
        <w:ind w:firstLine="425"/>
      </w:pPr>
      <w:r>
        <w:t xml:space="preserve">6.8. Пользователь, обнаруживший, что средство защиты не запущено или выдаёт сообщение об ошибке, немедленно сообщает об этом администратору безопасности и не продолжает работу с персональными данными до восстановления защиты.</w:t>
      </w:r>
    </w:p>
    <w:p>
      <w:pPr>
        <w:pStyle w:val="ClauseHeading"/>
      </w:pPr>
      <w:r>
        <w:rPr>
          <w:b/>
        </w:rPr>
        <w:t xml:space="preserve">7. Обновление средств защиты</w:t>
      </w:r>
    </w:p>
    <w:p>
      <w:pPr>
        <w:ind w:firstLine="425"/>
      </w:pPr>
      <w:r>
        <w:t xml:space="preserve">7.1. Обновления средств защиты, включая обновления баз данных признаков вредоносного кода, получают только из источников изготовителя или его официального представителя.</w:t>
      </w:r>
    </w:p>
    <w:p>
      <w:pPr>
        <w:ind w:firstLine="425"/>
      </w:pPr>
      <w:r>
        <w:t xml:space="preserve">7.2. Администратор безопасности проверяет доступность обновлений не реже одного раза в неделю, а обновления баз признаков вредоносного кода устанавливаются в автоматическом режиме не реже одного раза в сутки.</w:t>
      </w:r>
    </w:p>
    <w:p>
      <w:pPr>
        <w:ind w:firstLine="425"/>
      </w:pPr>
      <w:r>
        <w:t xml:space="preserve">7.3. Перед установкой обновления, изменяющего версию средства защиты, администратор безопасности проверяет его подлинность по контрольным суммам и, при наличии технической возможности, устанавливает обновление на тестовом сегменте.</w:t>
      </w:r>
    </w:p>
    <w:p>
      <w:pPr>
        <w:ind w:firstLine="425"/>
      </w:pPr>
      <w:r>
        <w:t xml:space="preserve">7.4. Обновление устанавливается в срок, не превышающий пяти рабочих дней со дня его выпуска, а обновление, устраняющее уязвимость, признанную критической, — в течение одного рабочего дня.</w:t>
      </w:r>
    </w:p>
    <w:p>
      <w:pPr>
        <w:ind w:firstLine="425"/>
      </w:pPr>
      <w:r>
        <w:t xml:space="preserve">7.5. Перед обновлением создаётся резервная копия настроек средства защиты, позволяющая вернуть прежнюю конфигурацию.</w:t>
      </w:r>
    </w:p>
    <w:p>
      <w:pPr>
        <w:ind w:firstLine="425"/>
      </w:pPr>
      <w:r>
        <w:t xml:space="preserve">7.6. Если обновление привело к нарушению работоспособности информационной системы, администратор безопасности возвращает прежнюю версию, докладывает ответственному и фиксирует событие в журнале контроля.</w:t>
      </w:r>
    </w:p>
    <w:p>
      <w:pPr>
        <w:ind w:firstLine="425"/>
      </w:pPr>
      <w:r>
        <w:t xml:space="preserve">7.7. Сведения об установленных обновлениях с указанием даты, версии и результата вносятся в журнал контроля целостности и обновлений.</w:t>
      </w:r>
    </w:p>
    <w:p>
      <w:pPr>
        <w:pStyle w:val="ClauseHeading"/>
      </w:pPr>
      <w:r>
        <w:rPr>
          <w:b/>
        </w:rPr>
        <w:t xml:space="preserve">8. Контроль целостности и работоспособности</w:t>
      </w:r>
    </w:p>
    <w:p>
      <w:pPr>
        <w:ind w:firstLine="425"/>
      </w:pPr>
      <w:r>
        <w:t xml:space="preserve">8.1. Контроль целостности и работоспособности средств защиты проводится еженедельно, а также после каждого обновления, восстановления системы и работ, затрагивающих конфигурацию.</w:t>
      </w:r>
    </w:p>
    <w:p>
      <w:pPr>
        <w:ind w:firstLine="425"/>
      </w:pPr>
      <w:r>
        <w:t xml:space="preserve">8.2. При контроле проверяется: запускается ли средство защиты автоматически, соответствуют ли настройки утверждённым, актуальны ли базы и лицензии, ведётся ли регистрация событий, совпадают ли контрольные суммы защищаемых компонентов с эталонными.</w:t>
      </w:r>
    </w:p>
    <w:p>
      <w:pPr>
        <w:ind w:firstLine="425"/>
      </w:pPr>
      <w:r>
        <w:t xml:space="preserve">8.3. При контроле проверяется также, не появились ли учётные записи и права доступа, не предусмотренные утверждённым перечнем лиц, допущенных к обработке персональных данных.</w:t>
      </w:r>
    </w:p>
    <w:p>
      <w:pPr>
        <w:ind w:firstLine="425"/>
      </w:pPr>
      <w:r>
        <w:t xml:space="preserve">8.4. Результат контроля фиксируется в журнале контроля целостности и обновлений с указанием даты, проверенных объектов, выявленных отклонений и принятых мер.</w:t>
      </w:r>
    </w:p>
    <w:p>
      <w:pPr>
        <w:ind w:firstLine="425"/>
      </w:pPr>
      <w:r>
        <w:t xml:space="preserve">8.5. Выявленные отклонения устраняются администратором безопасности незамедлительно.</w:t>
      </w:r>
    </w:p>
    <w:p>
      <w:pPr>
        <w:ind w:firstLine="425"/>
      </w:pPr>
      <w:r>
        <w:t xml:space="preserve">8.6. Отклонение, которое невозможно устранить в течение одного рабочего дня, докладывается ответственному, а обработка персональных данных в затронутой системе ограничивается.</w:t>
      </w:r>
    </w:p>
    <w:p>
      <w:pPr>
        <w:ind w:firstLine="425"/>
      </w:pPr>
      <w:r>
        <w:t xml:space="preserve">8.7. Ответственный не реже одного раза в год проверяет полноту ведения журналов контроля в рамках внутреннего контроля соответствия обработки требованиям законодательства (ст. 18.1 152-ФЗ).</w:t>
      </w:r>
    </w:p>
    <w:p>
      <w:pPr>
        <w:pStyle w:val="ClauseHeading"/>
      </w:pPr>
      <w:r>
        <w:rPr>
          <w:b/>
        </w:rPr>
        <w:t xml:space="preserve">9. Вывод средства защиты из эксплуатации</w:t>
      </w:r>
    </w:p>
    <w:p>
      <w:pPr>
        <w:ind w:firstLine="425"/>
      </w:pPr>
      <w:r>
        <w:t xml:space="preserve">9.1. Средство защиты выводится из эксплуатации при истечении срока действия лицензии или сертификата, при замене на иное средство, при выводе из эксплуатации информационной системы, а также при прекращении поддержки изготовителем.</w:t>
      </w:r>
    </w:p>
    <w:p>
      <w:pPr>
        <w:ind w:firstLine="425"/>
      </w:pPr>
      <w:r>
        <w:t xml:space="preserve">9.2. Решение о выводе из эксплуатации принимает руководитель по представлению ответственного.</w:t>
      </w:r>
    </w:p>
    <w:p>
      <w:pPr>
        <w:ind w:firstLine="425"/>
      </w:pPr>
      <w:r>
        <w:t xml:space="preserve">9.3. До ввода замещающего средства защиты обработка персональных данных в системе не производится, если модель угроз требует применения такого средства.</w:t>
      </w:r>
    </w:p>
    <w:p>
      <w:pPr>
        <w:ind w:firstLine="425"/>
      </w:pPr>
      <w:r>
        <w:t xml:space="preserve">9.4. Администратор безопасности удаляет средство защиты, уничтожает ключевую информацию и настройки, содержащие сведения о конфигурации защиты, и делает запись в журнале учёта.</w:t>
      </w:r>
    </w:p>
    <w:p>
      <w:pPr>
        <w:ind w:firstLine="425"/>
      </w:pPr>
      <w:r>
        <w:t xml:space="preserve">9.5. Носители, содержащие дистрибутивы, ключевую информацию и резервные копии настроек, уничтожаются в порядке, установленном инструкцией по уничтожению персональных данных.</w:t>
      </w:r>
    </w:p>
    <w:p>
      <w:pPr>
        <w:ind w:firstLine="425"/>
      </w:pPr>
      <w:r>
        <w:t xml:space="preserve">9.6. Вывод из эксплуатации оформляется актом с указанием причины, даты, перечня уничтоженных материалов и лиц, проводивших работы.</w:t>
      </w:r>
    </w:p>
    <w:p>
      <w:pPr>
        <w:pStyle w:val="ClauseHeading"/>
      </w:pPr>
      <w:r>
        <w:rPr>
          <w:b/>
        </w:rPr>
        <w:t xml:space="preserve">10. Ответственность</w:t>
      </w:r>
    </w:p>
    <w:p>
      <w:pPr>
        <w:ind w:firstLine="425"/>
      </w:pPr>
      <w:r>
        <w:t xml:space="preserve">10.1. Отключение, удаление средства защиты или изменение его настроек без разрешения является грубым нарушением настоящей Инструкции и влечёт дисциплинарную ответственность (ст. 192 ТК РФ).</w:t>
      </w:r>
    </w:p>
    <w:p>
      <w:pPr>
        <w:ind w:firstLine="425"/>
      </w:pPr>
      <w:r>
        <w:t xml:space="preserve">10.2. Сокрытие сбоя средства защиты, а равно продолжение обработки персональных данных при неработающем средстве защиты рассматриваются как самостоятельные нарушения.</w:t>
      </w:r>
    </w:p>
    <w:p>
      <w:pPr>
        <w:ind w:firstLine="425"/>
      </w:pPr>
      <w:r>
        <w:t xml:space="preserve">10.3. Ущерб, причинённый Оператору в результате нарушения настоящей Инструкции, возмещается работником в порядке и пределах, установленных трудовым законодательством (ст. 238 ТК РФ).</w:t>
      </w:r>
    </w:p>
    <w:p>
      <w:pPr>
        <w:ind w:firstLine="425"/>
      </w:pPr>
      <w:r>
        <w:t xml:space="preserve">10.4. Необеспечение сохранности персональных данных при их обработке в информационных системах влечёт административную ответственность Оператора (ст. 13.11 КоАП РФ).</w:t>
      </w:r>
    </w:p>
    <w:p>
      <w:pPr>
        <w:ind w:firstLine="425"/>
      </w:pPr>
      <w:r>
        <w:t xml:space="preserve">10.5. Привлечение работника к ответственности не освобождает Оператора от обязанности возместить субъекту персональных данных причинённый вред (ст. 24 152-ФЗ).</w:t>
      </w:r>
    </w:p>
    <w:p>
      <w:pPr>
        <w:pStyle w:val="ClauseHeading"/>
      </w:pPr>
      <w:r>
        <w:rPr>
          <w:b/>
        </w:rPr>
        <w:t xml:space="preserve">11. Заключительные положения</w:t>
      </w:r>
    </w:p>
    <w:p>
      <w:pPr>
        <w:ind w:firstLine="425"/>
      </w:pPr>
      <w:r>
        <w:t xml:space="preserve">11.1. Инструкция вступает в силу со дня утверждения приказом руководителя и действует до её отмены или замены новой редакцией.</w:t>
      </w:r>
    </w:p>
    <w:p>
      <w:pPr>
        <w:ind w:firstLine="425"/>
      </w:pPr>
      <w:r>
        <w:t xml:space="preserve">11.2. Инструкция пересматривается не реже одного раза в год, а также при изменении состава средств защиты, модели угроз, уровня защищённости информационных систем или требований законодательства.</w:t>
      </w:r>
    </w:p>
    <w:p>
      <w:pPr>
        <w:ind w:firstLine="425"/>
      </w:pPr>
      <w:r>
        <w:t xml:space="preserve">11.3. Администратор безопасности, работники, обслуживающие информационные системы, и пользователи знакомятся с Инструкцией под подпись до начала работы со средствами защиты (ст. 8 ТК РФ).</w:t>
      </w:r>
    </w:p>
    <w:p>
      <w:pPr>
        <w:ind w:firstLine="425"/>
      </w:pPr>
      <w:r>
        <w:t xml:space="preserve">11.4. Контроль за исполнением Инструкции возлагается на ответственного за организацию обработки персональных данных.</w:t>
      </w:r>
    </w:p>
    <w:p>
      <w:pPr>
        <w:pStyle w:val="ClauseHeading"/>
      </w:pPr>
      <w:r>
        <w:rPr>
          <w:b/>
        </w:rPr>
        <w:t xml:space="preserve">12. Подписи</w:t>
      </w:r>
    </w:p>
    <w:p>
      <w:pPr>
        <w:ind w:firstLine="425"/>
      </w:pPr>
      <w:r>
        <w:t xml:space="preserve">12.1. Ответственный за организацию обработки персональных данных:</w:t>
      </w:r>
    </w:p>
    <w:p>
      <w:pPr>
        <w:ind w:firstLine="425"/>
      </w:pPr>
      <w:r>
        <w:t xml:space="preserve">12.2. генеральный директор ______________</w:t>
      </w:r>
    </w:p>
    <w:p>
      <w:pPr>
        <w:ind w:firstLine="425"/>
      </w:pPr>
      <w:r>
        <w:t xml:space="preserve">12.3. Иванов Иван Иванович</w:t>
      </w:r>
    </w:p>
    <w:p>
      <w:pPr>
        <w:ind w:firstLine="425"/>
      </w:pPr>
      <w:r>
        <w:t xml:space="preserve">12.4. Администратор безопасности:</w:t>
      </w:r>
    </w:p>
    <w:p>
      <w:pPr>
        <w:ind w:firstLine="425"/>
      </w:pPr>
      <w:r>
        <w:t xml:space="preserve">12.5. системный администратор ______________</w:t>
      </w:r>
    </w:p>
    <w:p>
      <w:pPr>
        <w:ind w:firstLine="425"/>
      </w:pPr>
      <w:r>
        <w:t xml:space="preserve">12.6. Сидоров Сидор Сидорович</w:t>
      </w:r>
    </w:p>
    <w:p>
      <w:pPr>
        <w:ind w:firstLine="425"/>
      </w:pPr>
      <w:r>
        <w:t xml:space="preserve">12.7. Руководитель:</w:t>
      </w:r>
    </w:p>
    <w:p>
      <w:pPr>
        <w:ind w:firstLine="425"/>
      </w:pPr>
      <w:r>
        <w:t xml:space="preserve">12.8. генеральный директор ______________</w:t>
      </w:r>
    </w:p>
    <w:p>
      <w:pPr>
        <w:ind w:firstLine="425"/>
      </w:pPr>
      <w:r>
        <w:t xml:space="preserve">12.9. Петров Пётр Петрович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№ 1. Журнал учёта средств защиты информации и ключевых носителей</w:t>
      </w:r>
    </w:p>
    <w:p>
      <w:pPr>
        <w:ind w:firstLine="425"/>
      </w:pPr>
      <w:r>
        <w:t xml:space="preserve">Журнал ведёт системный администратор. Запись вносится в день получения, установки, передачи или уничтожения экземпляра.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16"/>
        <w:gridCol w:w="2066"/>
        <w:gridCol w:w="1721"/>
        <w:gridCol w:w="1549"/>
        <w:gridCol w:w="1721"/>
        <w:gridCol w:w="2066"/>
      </w:tblGrid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Средство защиты и версия</w:t>
            </w:r>
          </w:p>
        </w:tc>
        <w:tc>
          <w:tcPr>
            <w:tcW w:w="8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экземпляра</w:t>
            </w:r>
          </w:p>
        </w:tc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Место установки</w:t>
            </w:r>
          </w:p>
        </w:tc>
        <w:tc>
          <w:tcPr>
            <w:tcW w:w="8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Кому выдан, подпись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отметка о выводе</w:t>
            </w: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Журнал хранится не менее пяти лет со дня внесения последней записи и предъявляется при контрольных мероприятиях.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№ 2. Журнал контроля целостности и обновлений</w:t>
      </w:r>
    </w:p>
    <w:p>
      <w:pPr>
        <w:ind w:firstLine="425"/>
      </w:pPr>
      <w:r>
        <w:t xml:space="preserve">Журнал ведёт системный администратор. Записи вносятся по результатам каждой проверки, каждого обновления и каждого сбоя.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07"/>
        <w:gridCol w:w="1522"/>
        <w:gridCol w:w="1353"/>
        <w:gridCol w:w="3044"/>
        <w:gridCol w:w="1860"/>
        <w:gridCol w:w="1353"/>
      </w:tblGrid>
      <w:t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7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Объект контроля</w:t>
            </w:r>
          </w:p>
        </w:tc>
        <w:tc>
          <w:tcPr>
            <w:tcW w:w="15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проверялось или устанавливалось</w:t>
            </w:r>
          </w:p>
        </w:tc>
        <w:tc>
          <w:tcPr>
            <w:tcW w:w="96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Выявленные отклонения</w:t>
            </w:r>
          </w:p>
        </w:tc>
        <w:tc>
          <w:tcPr>
            <w:tcW w:w="7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Принятые меры</w:t>
            </w: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Записи о временном отключении средства защиты содержат причину, срок и лицо, разрешившее отключение.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Приложение № 3. Лист ознакомления с Инструкцией</w:t>
      </w:r>
    </w:p>
    <w:p>
      <w:pPr>
        <w:ind w:firstLine="425"/>
      </w:pPr>
      <w:r>
        <w:t xml:space="preserve">С Инструкцией по применению средств защиты информации, утверждённой приказом от 01.01.2026 № 22-ПДн, ознакомлены: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73"/>
        <w:gridCol w:w="2466"/>
        <w:gridCol w:w="2690"/>
        <w:gridCol w:w="2017"/>
        <w:gridCol w:w="1793"/>
      </w:tblGrid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93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вместе с Инструкцией у ответственного за организацию обработки персональных данных.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«Инструкция по применению средств защиты информации» с сайта primadoc.ru. Документ, заполненный под вашу ситуацию, собирается в конструкторе: https://primadoc.ru/doc/instrukciya-po-primeneniyu-sredstv-zaschity-informacii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Инструкция по применению средств защиты информации — образец заполнения</dc:title>
  <dc:creator>Примадок</dc:creator>
  <dcterms:created xsi:type="dcterms:W3CDTF">2026-09-12T10:41:01Z</dcterms:created>
</cp:coreProperties>
</file>