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</w:t>
      </w:r>
    </w:p>
    <w:p>
      <w:pPr>
        <w:jc w:val="left"/>
      </w:pPr>
      <w:r>
        <w:t xml:space="preserve">______</w:t>
      </w:r>
    </w:p>
    <w:p>
      <w:pPr>
        <w:pStyle w:val="DocTitle"/>
      </w:pPr>
      <w:r>
        <w:t xml:space="preserve">Инструкция по обработке ПДн без средств автоматизации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Инструкция устанавливает порядок обработки персональных данных в ______ (ИНН ______, ОГРН ______; далее — Оператор) на материальных носителях без использования средств автоматизации (ПП РФ 687 —).</w:t>
      </w:r>
    </w:p>
    <w:p>
      <w:pPr>
        <w:ind w:firstLine="425"/>
      </w:pPr>
      <w:r>
        <w:t xml:space="preserve">1.2. Обработка признаётся осуществляемой без использования средств автоматизации, если действия с персональными данными — использование, уточнение, распространение, уничтожение — совершаются при непосредственном участии человека.</w:t>
      </w:r>
    </w:p>
    <w:p>
      <w:pPr>
        <w:ind w:firstLine="425"/>
      </w:pPr>
      <w:r>
        <w:t xml:space="preserve">1.3. Инструкция обязательна для всех работников, которые работают с документами, содержащими персональные данные, в том числе для работников кадровой, бухгалтерской и договорной служб.</w:t>
      </w:r>
    </w:p>
    <w:p>
      <w:pPr>
        <w:ind w:firstLine="425"/>
      </w:pPr>
      <w:r>
        <w:t xml:space="preserve">1.4. Использование средств вычислительной техники для набора и печати документа не превращает последующую работу с бумажным экземпляром в автоматизированную обработку: к бумажному носителю применяются требования настоящей Инструкции.</w:t>
      </w:r>
    </w:p>
    <w:p>
      <w:pPr>
        <w:ind w:firstLine="425"/>
      </w:pPr>
      <w:r>
        <w:t xml:space="preserve">1.5. Организацию обработки без использования средств автоматизации обеспечивает ______ ______ (ст. 22.1 152-ФЗ).</w:t>
      </w:r>
    </w:p>
    <w:p>
      <w:pPr>
        <w:ind w:firstLine="425"/>
      </w:pPr>
      <w:r>
        <w:t xml:space="preserve">1.6. Требования Инструкции применяются в совокупности с положением об обработке и защите персональных данных Оператора.</w:t>
      </w:r>
    </w:p>
    <w:p>
      <w:pPr>
        <w:pStyle w:val="ClauseHeading"/>
      </w:pPr>
      <w:r>
        <w:rPr>
          <w:b/>
        </w:rPr>
        <w:t xml:space="preserve">2. Основные понятия</w:t>
      </w:r>
    </w:p>
    <w:p>
      <w:pPr>
        <w:ind w:firstLine="425"/>
      </w:pPr>
      <w:r>
        <w:t xml:space="preserve">2.1. Материальный носитель — бумажный или иной материальный объект, содержащий персональные данные, зафиксированные на нём в любой форме: документ, анкета, согласие, договор, личное дело, журнал, картотека, опись.</w:t>
      </w:r>
    </w:p>
    <w:p>
      <w:pPr>
        <w:ind w:firstLine="425"/>
      </w:pPr>
      <w:r>
        <w:t xml:space="preserve">2.2. Типовая форма документа — утверждённый Оператором бланк, предназначенный для внесения персональных данных при обработке без использования средств автоматизации.</w:t>
      </w:r>
    </w:p>
    <w:p>
      <w:pPr>
        <w:ind w:firstLine="425"/>
      </w:pPr>
      <w:r>
        <w:t xml:space="preserve">2.3. Обособление персональных данных — размещение данных, обрабатываемых в разных целях, на отдельных материальных носителях, в отдельных разделах или в специально предназначенных для этого полях формы.</w:t>
      </w:r>
    </w:p>
    <w:p>
      <w:pPr>
        <w:ind w:firstLine="425"/>
      </w:pPr>
      <w:r>
        <w:t xml:space="preserve">2.4. Уничтожение материального носителя — приведение носителя в состояние, при котором содержащиеся на нём персональные данные восстановить невозможно.</w:t>
      </w:r>
    </w:p>
    <w:p>
      <w:pPr>
        <w:ind w:firstLine="425"/>
      </w:pPr>
      <w:r>
        <w:t xml:space="preserve">2.5. Место хранения — определённое приказом Оператора помещение и предмет мебели с замком: ______.</w:t>
      </w:r>
    </w:p>
    <w:p>
      <w:pPr>
        <w:pStyle w:val="ClauseHeading"/>
      </w:pPr>
      <w:r>
        <w:rPr>
          <w:b/>
        </w:rPr>
        <w:t xml:space="preserve">3. Обособление и раздельное хранение по целям</w:t>
      </w:r>
    </w:p>
    <w:p>
      <w:pPr>
        <w:ind w:firstLine="425"/>
      </w:pPr>
      <w:r>
        <w:t xml:space="preserve">3.1. Персональные данные, обрабатываемые в разных целях, обособляются друг от друга: для каждой цели заводится отдельное дело, отдельный раздел дела или отдельный материальный носитель (ПП РФ 687 —).</w:t>
      </w:r>
    </w:p>
    <w:p>
      <w:pPr>
        <w:ind w:firstLine="425"/>
      </w:pPr>
      <w:r>
        <w:t xml:space="preserve">3.2. Не допускается размещение на одном материальном носителе персональных данных, цели обработки которых заведомо несовместимы.</w:t>
      </w:r>
    </w:p>
    <w:p>
      <w:pPr>
        <w:ind w:firstLine="425"/>
      </w:pPr>
      <w:r>
        <w:t xml:space="preserve">3.3. Данные, необходимые для исполнения трудового договора, не размещаются на одном носителе со сведениями, собираемыми для рекламных или маркетинговых целей.</w:t>
      </w:r>
    </w:p>
    <w:p>
      <w:pPr>
        <w:ind w:firstLine="425"/>
      </w:pPr>
      <w:r>
        <w:t xml:space="preserve">3.4. Дела формируются по категориям субъектов: работники, кандидаты, клиенты, контрагенты — физические лица, посетители.</w:t>
      </w:r>
    </w:p>
    <w:p>
      <w:pPr>
        <w:ind w:firstLine="425"/>
      </w:pPr>
      <w:r>
        <w:t xml:space="preserve">3.5. Смешение документов разных категорий в одном деле не допускается.</w:t>
      </w:r>
    </w:p>
    <w:p>
      <w:pPr>
        <w:ind w:firstLine="425"/>
      </w:pPr>
      <w:r>
        <w:t xml:space="preserve">3.6. Документы, содержащие специальные категории персональных данных и сведения о состоянии здоровья, хранятся отдельно от остальных документов дела и учитываются самостоятельно.</w:t>
      </w:r>
    </w:p>
    <w:p>
      <w:pPr>
        <w:ind w:firstLine="425"/>
      </w:pPr>
      <w:r>
        <w:t xml:space="preserve">3.7. Оператор ведёт перечень дел и картотек, содержащих персональные данные, с указанием цели обработки, категории субъектов, состава данных, места хранения и работника, ответственного за ведение дела.</w:t>
      </w:r>
    </w:p>
    <w:p>
      <w:pPr>
        <w:ind w:firstLine="425"/>
      </w:pPr>
      <w:r>
        <w:t xml:space="preserve">3.8. При обработке данных в общем деле, содержащем сведения о нескольких субъектах, работник обеспечивает, чтобы при работе с данными одного субъекта данные других субъектов не становились доступны посторонним (ст. 7 152-ФЗ).</w:t>
      </w:r>
    </w:p>
    <w:p>
      <w:pPr>
        <w:pStyle w:val="ClauseHeading"/>
      </w:pPr>
      <w:r>
        <w:rPr>
          <w:b/>
        </w:rPr>
        <w:t xml:space="preserve">4. Типовые формы документов</w:t>
      </w:r>
    </w:p>
    <w:p>
      <w:pPr>
        <w:ind w:firstLine="425"/>
      </w:pPr>
      <w:r>
        <w:t xml:space="preserve">4.1. Типовые формы документов, в которые вносятся персональные данные, утверждаются приказом руководителя Оператора и применяются только в утверждённой редакции (ПП РФ 687 —).</w:t>
      </w:r>
    </w:p>
    <w:p>
      <w:pPr>
        <w:ind w:firstLine="425"/>
      </w:pPr>
      <w:r>
        <w:t xml:space="preserve">4.2. Типовая форма содержит наименование и адрес Оператора, а также цель обработки персональных данных, для которой она предназначена.</w:t>
      </w:r>
    </w:p>
    <w:p>
      <w:pPr>
        <w:ind w:firstLine="425"/>
      </w:pPr>
      <w:r>
        <w:t xml:space="preserve">4.3. Типовая форма содержит перечень персональных данных, вносимых в неё, и сведения об источнике их получения, если данные вносятся не со слов субъекта.</w:t>
      </w:r>
    </w:p>
    <w:p>
      <w:pPr>
        <w:ind w:firstLine="425"/>
      </w:pPr>
      <w:r>
        <w:t xml:space="preserve">4.4. Типовая форма содержит срок обработки персональных данных, перечень действий с ними и общее описание используемых Оператором способов обработки.</w:t>
      </w:r>
    </w:p>
    <w:p>
      <w:pPr>
        <w:ind w:firstLine="425"/>
      </w:pPr>
      <w:r>
        <w:t xml:space="preserve">4.5. Типовая форма содержит поля, в которых субъект может проставить отметку о своём согласии на обработку, если обработка ведётся на основании согласия.</w:t>
      </w:r>
    </w:p>
    <w:p>
      <w:pPr>
        <w:ind w:firstLine="425"/>
      </w:pPr>
      <w:r>
        <w:t xml:space="preserve">4.6. Такие поля не заполняются заранее и не помечаются по умолчанию (ст. 9 152-ФЗ).</w:t>
      </w:r>
    </w:p>
    <w:p>
      <w:pPr>
        <w:ind w:firstLine="425"/>
      </w:pPr>
      <w:r>
        <w:t xml:space="preserve">4.7. Поля, в которые вносятся персональные данные, обособляются так, чтобы данные, обрабатываемые в разных целях, вносились в разные поля или разделы формы.</w:t>
      </w:r>
    </w:p>
    <w:p>
      <w:pPr>
        <w:ind w:firstLine="425"/>
      </w:pPr>
      <w:r>
        <w:t xml:space="preserve">4.8. Форма не должна предусматривать внесение сведений, избыточных по отношению к заявленной цели: наличие в бланке поля обязывает работника его заполнять, поэтому лишние поля из формы исключаются.</w:t>
      </w:r>
    </w:p>
    <w:p>
      <w:pPr>
        <w:pStyle w:val="ClauseHeading"/>
      </w:pPr>
      <w:r>
        <w:rPr>
          <w:b/>
        </w:rPr>
        <w:t xml:space="preserve">5. Регистрация и учёт носителей</w:t>
      </w:r>
    </w:p>
    <w:p>
      <w:pPr>
        <w:ind w:firstLine="425"/>
      </w:pPr>
      <w:r>
        <w:t xml:space="preserve">5.1. Материальные носители, содержащие персональные данные, учитываются в журнале учёта бумажных носителей.</w:t>
      </w:r>
    </w:p>
    <w:p>
      <w:pPr>
        <w:ind w:firstLine="425"/>
      </w:pPr>
      <w:r>
        <w:t xml:space="preserve">5.2. Работник, принявший документ, регистрирует его в течение одного рабочего дня со дня поступления.</w:t>
      </w:r>
    </w:p>
    <w:p>
      <w:pPr>
        <w:ind w:firstLine="425"/>
      </w:pPr>
      <w:r>
        <w:t xml:space="preserve">5.3. В журнал вносятся: регистрационный номер и дата, наименование и вид документа, категория субъектов и цель обработки, количество листов, место хранения, работник, ответственный за документ.</w:t>
      </w:r>
    </w:p>
    <w:p>
      <w:pPr>
        <w:ind w:firstLine="425"/>
      </w:pPr>
      <w:r>
        <w:t xml:space="preserve">5.4. Дела и картотеки нумеруются, а листы в делах постоянного и длительного хранения — прошиваются и нумеруются в порядке, установленном для документооборота Оператора.</w:t>
      </w:r>
    </w:p>
    <w:p>
      <w:pPr>
        <w:ind w:firstLine="425"/>
      </w:pPr>
      <w:r>
        <w:t xml:space="preserve">5.5. Выдача документа работнику для работы и его возврат фиксируются в журнале с указанием даты, лица, получившего документ, и подписи.</w:t>
      </w:r>
    </w:p>
    <w:p>
      <w:pPr>
        <w:ind w:firstLine="425"/>
      </w:pPr>
      <w:r>
        <w:t xml:space="preserve">5.6. Не реже одного раза в год ответственный проводит проверку наличия материальных носителей по журналу учёта.</w:t>
      </w:r>
    </w:p>
    <w:p>
      <w:pPr>
        <w:ind w:firstLine="425"/>
      </w:pPr>
      <w:r>
        <w:t xml:space="preserve">5.7. Результат проверки оформляется актом.</w:t>
      </w:r>
    </w:p>
    <w:p>
      <w:pPr>
        <w:ind w:firstLine="425"/>
      </w:pPr>
      <w:r>
        <w:t xml:space="preserve">5.8. Расхождение фактического наличия документов с журналом рассматривается как возможный инцидент безопасности персональных данных и подлежит расследованию.</w:t>
      </w:r>
    </w:p>
    <w:p>
      <w:pPr>
        <w:pStyle w:val="ClauseHeading"/>
      </w:pPr>
      <w:r>
        <w:rPr>
          <w:b/>
        </w:rPr>
        <w:t xml:space="preserve">6. Хранение бумажных носителей</w:t>
      </w:r>
    </w:p>
    <w:p>
      <w:pPr>
        <w:ind w:firstLine="425"/>
      </w:pPr>
      <w:r>
        <w:t xml:space="preserve">6.1. Бумажные носители хранятся в ______ — в запираемых шкафах или стеллажах в помещениях с ограниченным доступом.</w:t>
      </w:r>
    </w:p>
    <w:p>
      <w:pPr>
        <w:ind w:firstLine="425"/>
      </w:pPr>
      <w:r>
        <w:t xml:space="preserve">6.2. Оригиналы документов, представленных субъектами, и документы, содержащие специальные категории персональных данных, хранятся в сейфе или в отдельном запираемом отделении шкафа (ст. 19 152-ФЗ).</w:t>
      </w:r>
    </w:p>
    <w:p>
      <w:pPr>
        <w:ind w:firstLine="425"/>
      </w:pPr>
      <w:r>
        <w:t xml:space="preserve">6.3. Ключи от шкафов и сейфов хранятся у ______ и у ответственного за организацию обработки персональных данных.</w:t>
      </w:r>
    </w:p>
    <w:p>
      <w:pPr>
        <w:ind w:firstLine="425"/>
      </w:pPr>
      <w:r>
        <w:t xml:space="preserve">6.4. Передача ключей иным работникам и изготовление дубликатов без разрешения руководителя не допускаются.</w:t>
      </w:r>
    </w:p>
    <w:p>
      <w:pPr>
        <w:ind w:firstLine="425"/>
      </w:pPr>
      <w:r>
        <w:t xml:space="preserve">6.5. Доступ в помещение, где хранятся носители, имеют только работники, должности которых включены в перечень должностей, допущенных к обработке персональных данных.</w:t>
      </w:r>
    </w:p>
    <w:p>
      <w:pPr>
        <w:ind w:firstLine="425"/>
      </w:pPr>
      <w:r>
        <w:t xml:space="preserve">6.6. Посетители находятся в таком помещении только в сопровождении работника.</w:t>
      </w:r>
    </w:p>
    <w:p>
      <w:pPr>
        <w:ind w:firstLine="425"/>
      </w:pPr>
      <w:r>
        <w:t xml:space="preserve">6.7. По окончании рабочего дня документы, содержащие персональные данные, убираются в места хранения.</w:t>
      </w:r>
    </w:p>
    <w:p>
      <w:pPr>
        <w:ind w:firstLine="425"/>
      </w:pPr>
      <w:r>
        <w:t xml:space="preserve">6.8. Оставление документов на рабочем столе, на подоконнике, у печатающего устройства и в незапираемых ящиках не допускается.</w:t>
      </w:r>
    </w:p>
    <w:p>
      <w:pPr>
        <w:ind w:firstLine="425"/>
      </w:pPr>
      <w:r>
        <w:t xml:space="preserve">6.9. Работник, обнаруживший незапертый шкаф с документами или документы, оставленные без присмотра, сообщает об этом ответственному.</w:t>
      </w:r>
    </w:p>
    <w:p>
      <w:pPr>
        <w:pStyle w:val="ClauseHeading"/>
      </w:pPr>
      <w:r>
        <w:rPr>
          <w:b/>
        </w:rPr>
        <w:t xml:space="preserve">7. Передача, копирование и вынос носителей</w:t>
      </w:r>
    </w:p>
    <w:p>
      <w:pPr>
        <w:ind w:firstLine="425"/>
      </w:pPr>
      <w:r>
        <w:t xml:space="preserve">7.1. Передача документов, содержащих персональные данные, между работниками Оператора производится под подпись в журнале учёта.</w:t>
      </w:r>
    </w:p>
    <w:p>
      <w:pPr>
        <w:ind w:firstLine="425"/>
      </w:pPr>
      <w:r>
        <w:t xml:space="preserve">7.2. Передача документов за пределы Оператора допускается при наличии правового основания: требования закона, договора с субъектом, согласия субъекта или договора поручения обработки (ст. 6 152-ФЗ).</w:t>
      </w:r>
    </w:p>
    <w:p>
      <w:pPr>
        <w:ind w:firstLine="425"/>
      </w:pPr>
      <w:r>
        <w:t xml:space="preserve">7.3. При почтовой или курьерской отправке документы направляются в запечатанном конверте с описью вложения и отметкой о конфиденциальности; факт отправки фиксируется в журнале.</w:t>
      </w:r>
    </w:p>
    <w:p>
      <w:pPr>
        <w:ind w:firstLine="425"/>
      </w:pPr>
      <w:r>
        <w:t xml:space="preserve">7.4. Копирование, сканирование и фотографирование документов допускаются при наличии служебной необходимости с разрешения ответственного.</w:t>
      </w:r>
    </w:p>
    <w:p>
      <w:pPr>
        <w:ind w:firstLine="425"/>
      </w:pPr>
      <w:r>
        <w:t xml:space="preserve">7.5. Изготовленные копии учитываются наравне с оригиналами.</w:t>
      </w:r>
    </w:p>
    <w:p>
      <w:pPr>
        <w:ind w:firstLine="425"/>
      </w:pPr>
      <w:r>
        <w:t xml:space="preserve">7.6. Вынос документов за пределы помещений Оператора допускается с письменного разрешения ответственного с отметкой в журнале о дате выдачи и дате возврата.</w:t>
      </w:r>
    </w:p>
    <w:p>
      <w:pPr>
        <w:ind w:firstLine="425"/>
      </w:pPr>
      <w:r>
        <w:t xml:space="preserve">7.7. Оставление документов с персональными данными в транспортном средстве, в гардеробе и в иных местах, где доступ к ним не контролируется, не допускается.</w:t>
      </w:r>
    </w:p>
    <w:p>
      <w:pPr>
        <w:ind w:firstLine="425"/>
      </w:pPr>
      <w:r>
        <w:t xml:space="preserve">7.8. Работник, утративший документ с персональными данными, в тот же день письменно сообщает об этом ответственному: утрата документа рассматривается как инцидент безопасности.</w:t>
      </w:r>
    </w:p>
    <w:p>
      <w:pPr>
        <w:pStyle w:val="ClauseHeading"/>
      </w:pPr>
      <w:r>
        <w:rPr>
          <w:b/>
        </w:rPr>
        <w:t xml:space="preserve">8. Уточнение и внесение исправлений</w:t>
      </w:r>
    </w:p>
    <w:p>
      <w:pPr>
        <w:ind w:firstLine="425"/>
      </w:pPr>
      <w:r>
        <w:t xml:space="preserve">8.1. Уточнение персональных данных на материальном носителе производится способом, позволяющим прочитать прежнее значение: неверная запись зачёркивается одной чертой, рядом вносится правильное значение (ст. 21 152-ФЗ).</w:t>
      </w:r>
    </w:p>
    <w:p>
      <w:pPr>
        <w:ind w:firstLine="425"/>
      </w:pPr>
      <w:r>
        <w:t xml:space="preserve">8.2. Исправление удостоверяется надписью «Исправленному верить», указанием даты, основания исправления и подписью работника, внёсшего исправление, с расшифровкой.</w:t>
      </w:r>
    </w:p>
    <w:p>
      <w:pPr>
        <w:ind w:firstLine="425"/>
      </w:pPr>
      <w:r>
        <w:t xml:space="preserve">8.3. Использование корректирующей жидкости, подчисток, заклеивания и иных способов, делающих прежнее значение нечитаемым, не допускается.</w:t>
      </w:r>
    </w:p>
    <w:p>
      <w:pPr>
        <w:ind w:firstLine="425"/>
      </w:pPr>
      <w:r>
        <w:t xml:space="preserve">8.4. Если внести исправление указанным способом невозможно или документ становится нечитаемым, оформляется новый носитель, а прежний уничтожается с отметкой в журнале.</w:t>
      </w:r>
    </w:p>
    <w:p>
      <w:pPr>
        <w:ind w:firstLine="425"/>
      </w:pPr>
      <w:r>
        <w:t xml:space="preserve">8.5. Основанием для уточнения являются документы, представленные субъектом, либо решение ответственного по результатам проверки достоверности данных.</w:t>
      </w:r>
    </w:p>
    <w:p>
      <w:pPr>
        <w:ind w:firstLine="425"/>
      </w:pPr>
      <w:r>
        <w:t xml:space="preserve">8.6. Сведения об уточнении вносятся в журнал учёта и в дело субъекта; субъект уведомляется о выполненном уточнении в порядке, установленном регламентом уточнения и блокирования персональных данных.</w:t>
      </w:r>
    </w:p>
    <w:p>
      <w:pPr>
        <w:pStyle w:val="ClauseHeading"/>
      </w:pPr>
      <w:r>
        <w:rPr>
          <w:b/>
        </w:rPr>
        <w:t xml:space="preserve">9. Уничтожение бумажных носителей</w:t>
      </w:r>
    </w:p>
    <w:p>
      <w:pPr>
        <w:ind w:firstLine="425"/>
      </w:pPr>
      <w:r>
        <w:t xml:space="preserve">9.1. Бумажные носители уничтожаются при достижении целей обработки, отзыве согласия при отсутствии иных оснований, истечении срока хранения и по требованию субъекта при неправомерной обработке (ст. 21 152-ФЗ).</w:t>
      </w:r>
    </w:p>
    <w:p>
      <w:pPr>
        <w:ind w:firstLine="425"/>
      </w:pPr>
      <w:r>
        <w:t xml:space="preserve">9.2. Уничтожение производится способом, исключающим восстановление данных: измельчением на устройстве или сжиганием.</w:t>
      </w:r>
    </w:p>
    <w:p>
      <w:pPr>
        <w:ind w:firstLine="425"/>
      </w:pPr>
      <w:r>
        <w:t xml:space="preserve">9.3. Выброс документов в мусор, в том числе разорванных вручную, уничтожением не признаётся.</w:t>
      </w:r>
    </w:p>
    <w:p>
      <w:pPr>
        <w:ind w:firstLine="425"/>
      </w:pPr>
      <w:r>
        <w:t xml:space="preserve">9.4. Если на носителе содержатся персональные данные, подлежащие уничтожению, и сведения, подлежащие дальнейшему хранению, уничтожаются только подлежащие уничтожению данные способом, исключающим их восстановление.</w:t>
      </w:r>
    </w:p>
    <w:p>
      <w:pPr>
        <w:ind w:firstLine="425"/>
      </w:pPr>
      <w:r>
        <w:t xml:space="preserve">9.5. При невозможности такого уничтожения носитель уничтожается целиком, а сохраняемые сведения предварительно переносятся на новый носитель (ПП РФ 687 —).</w:t>
      </w:r>
    </w:p>
    <w:p>
      <w:pPr>
        <w:ind w:firstLine="425"/>
      </w:pPr>
      <w:r>
        <w:t xml:space="preserve">9.6. Уничтожение проводит комиссия, назначенная приказом руководителя, в присутствии всех её членов.</w:t>
      </w:r>
    </w:p>
    <w:p>
      <w:pPr>
        <w:ind w:firstLine="425"/>
      </w:pPr>
      <w:r>
        <w:t xml:space="preserve">9.7. Единоличное уничтожение документов работником не допускается.</w:t>
      </w:r>
    </w:p>
    <w:p>
      <w:pPr>
        <w:ind w:firstLine="425"/>
      </w:pPr>
      <w:r>
        <w:t xml:space="preserve">9.8. Факт уничтожения оформляется актом по форме, утверждённой Оператором.</w:t>
      </w:r>
    </w:p>
    <w:p>
      <w:pPr>
        <w:ind w:firstLine="425"/>
      </w:pPr>
      <w:r>
        <w:t xml:space="preserve">9.9. Сведения об уничтожении вносятся в журнал учёта и в журнал уничтожения.</w:t>
      </w:r>
    </w:p>
    <w:p>
      <w:pPr>
        <w:ind w:firstLine="425"/>
      </w:pPr>
      <w:r>
        <w:t xml:space="preserve">9.10. Черновики, испорченные бланки и ошибочно распечатанные листы с персональными данными уничтожаются работником в день их появления способом, исключающим восстановление данных.</w:t>
      </w:r>
    </w:p>
    <w:p>
      <w:pPr>
        <w:ind w:firstLine="425"/>
      </w:pPr>
      <w:r>
        <w:t xml:space="preserve">9.11. Акт в этом случае не составляется, однако такие листы не выносятся из помещения и не попадают в общий мусор.</w:t>
      </w:r>
    </w:p>
    <w:p>
      <w:pPr>
        <w:ind w:firstLine="425"/>
      </w:pPr>
      <w:r>
        <w:t xml:space="preserve">9.12. Порядок и способы уничтожения в остальной части установлены инструкцией по уничтожению персональных данных.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10.2. Работники, обрабатывающие персональные данные на материальных носителях, знакомятся с Инструкцией под подпись: принимаемые на работу — до подписания трудового договора (ст. 68 ТК РФ), работающие на день утверждения — в течение десяти рабочих дней.</w:t>
      </w:r>
    </w:p>
    <w:p>
      <w:pPr>
        <w:ind w:firstLine="425"/>
      </w:pPr>
      <w:r>
        <w:t xml:space="preserve">10.3. Инструкция пересматривается не реже одного раза в год, а также при изменении состава типовых форм, мест хранения или требований законодательства (ст. 8 ТК РФ).</w:t>
      </w:r>
    </w:p>
    <w:p>
      <w:pPr>
        <w:ind w:firstLine="425"/>
      </w:pPr>
      <w:r>
        <w:t xml:space="preserve">10.4. Контроль за исполнением Инструкции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11. Подписи</w:t>
      </w:r>
    </w:p>
    <w:p>
      <w:pPr>
        <w:ind w:firstLine="425"/>
      </w:pPr>
      <w:r>
        <w:t xml:space="preserve">11.1. Ответственный за организацию обработки персональных данных:</w:t>
      </w:r>
    </w:p>
    <w:p>
      <w:pPr>
        <w:ind w:firstLine="425"/>
      </w:pPr>
      <w:r>
        <w:t xml:space="preserve">11.2. ______ ______________</w:t>
      </w:r>
    </w:p>
    <w:p>
      <w:pPr>
        <w:ind w:firstLine="425"/>
      </w:pPr>
      <w:r>
        <w:t xml:space="preserve">11.3. ______</w:t>
      </w:r>
    </w:p>
    <w:p>
      <w:pPr>
        <w:ind w:firstLine="425"/>
      </w:pPr>
      <w:r>
        <w:t xml:space="preserve">11.4. Руководитель:</w:t>
      </w:r>
    </w:p>
    <w:p>
      <w:pPr>
        <w:ind w:firstLine="425"/>
      </w:pPr>
      <w:r>
        <w:t xml:space="preserve">11.5. ______ ______________</w:t>
      </w:r>
    </w:p>
    <w:p>
      <w:pPr>
        <w:ind w:firstLine="425"/>
      </w:pPr>
      <w:r>
        <w:t xml:space="preserve">11.6.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бумажных носителей персональных данных</w:t>
      </w:r>
    </w:p>
    <w:p>
      <w:pPr>
        <w:ind w:firstLine="425"/>
      </w:pPr>
      <w:r>
        <w:t xml:space="preserve">Журнал ведёт работник, ответственный за делопроизводство в подразделении. Записи вносятся в день поступления, выдачи, возврата и уничтожения носителя.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3002"/>
        <w:gridCol w:w="1422"/>
        <w:gridCol w:w="1264"/>
        <w:gridCol w:w="205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 число листов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Выдан, возвращён, подпись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пяти лет со дня внесения последней записи и предъявляется при проверке наличия носителей.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Перечень дел и типовых форм, содержащих персональные данные</w:t>
      </w:r>
    </w:p>
    <w:p>
      <w:pPr>
        <w:ind w:firstLine="425"/>
      </w:pPr>
      <w:r>
        <w:t xml:space="preserve">Перечень ведёт ______ и актуализирует его при заведении нового дела или утверждении новой типовой формы.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079"/>
        <w:gridCol w:w="1701"/>
        <w:gridCol w:w="1890"/>
        <w:gridCol w:w="1512"/>
        <w:gridCol w:w="2457"/>
      </w:tblGrid>
      <w:tr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Дело или типовая форма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Данные, обрабатываемые в целях, заведомо несовместимых между собой, в одном деле не размещаются.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по обработке персональных данных без использования средств автоматизации, утверждённой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обработке ПДн без средств автоматизации» с сайта primadoc.ru. Документ, заполненный под вашу ситуацию, собирается в конструкторе: https://primadoc.ru/doc/instrukciya-po-obrabotke-pdn-bez-sredstv-avtomatizacii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обработке ПДн без средств автоматизации — пустой бланк</dc:title>
  <dc:creator>Примадок</dc:creator>
  <dcterms:created xsi:type="dcterms:W3CDTF">2026-09-13T13:23:52Z</dcterms:created>
</cp:coreProperties>
</file>