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(ЖКХ)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«Управляющая организация (ТСЖ, РСО)», а также __________, __________ г.р., паспорт __________, выдан __________ __________, зарегистрирован(-а) по адресу: __________, именуемый(-ая) в дальнейшем «Собственник (наниматель)»,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по заданию собственников обязуется в течение согласованного срока за плату выполнять работы и оказывать услуги по управлению многоквартирным домом по адресу: ______, оказывать услуги и выполнять работы по надлежащему содержанию и ремонту общего имущества, предоставлять коммунальные услуги (в части, не перешедшей на прямые договоры), осуществлять иную деятельность, направленную на достижение целей управления (ст. 162 ЖК РФ).</w:t>
      </w:r>
    </w:p>
    <w:p>
      <w:pPr>
        <w:ind w:firstLine="425"/>
      </w:pPr>
      <w:r>
        <w:t xml:space="preserve">1.2. Вид договора: ______.</w:t>
      </w:r>
    </w:p>
    <w:p>
      <w:pPr>
        <w:ind w:firstLine="425"/>
      </w:pPr>
      <w:r>
        <w:t xml:space="preserve">1.3. Помещение собственника: ______.</w:t>
      </w:r>
    </w:p>
    <w:p>
      <w:pPr>
        <w:ind w:firstLine="425"/>
      </w:pPr>
      <w:r>
        <w:t xml:space="preserve">1.4. Состав общего имущества — приложение № 1.</w:t>
      </w:r>
    </w:p>
    <w:p>
      <w:pPr>
        <w:pStyle w:val="ClauseHeading"/>
      </w:pPr>
      <w:r>
        <w:rPr>
          <w:b/>
        </w:rPr>
        <w:t xml:space="preserve">2. Перечень работ и услуг</w:t>
      </w:r>
    </w:p>
    <w:p>
      <w:pPr>
        <w:ind w:firstLine="425"/>
      </w:pPr>
      <w:r>
        <w:t xml:space="preserve">2.1. Перечень и периодичность работ и услуг: ______ — не менее минимального перечня, утверждённого постановлением Правительства РФ № 290. Перечень изменяется решением общего собрания собственников с учётом предложений управляющей организации.</w:t>
      </w:r>
    </w:p>
    <w:p>
      <w:pPr>
        <w:pStyle w:val="ClauseHeading"/>
      </w:pPr>
      <w:r>
        <w:rPr>
          <w:b/>
        </w:rPr>
        <w:t xml:space="preserve">3. Цена договора и порядок расчётов</w:t>
      </w:r>
    </w:p>
    <w:p>
      <w:pPr>
        <w:ind w:firstLine="425"/>
      </w:pPr>
      <w:r>
        <w:t xml:space="preserve">3.1. Плата за содержание жилого помещения: ______ руб./м² в месяц — устанавливается общим собранием собственников на срок не менее года с учётом предложений УК; изменение в одностороннем порядке не допускается.</w:t>
      </w:r>
    </w:p>
    <w:p>
      <w:pPr>
        <w:ind w:firstLine="425"/>
      </w:pPr>
      <w:r>
        <w:t xml:space="preserve">3.2. Плата за коммунальные услуги — по тарифам, установленным органами регулирования, исходя из показаний приборов учёта (Правила № 354).</w:t>
      </w:r>
    </w:p>
    <w:p>
      <w:pPr>
        <w:ind w:firstLine="425"/>
      </w:pPr>
      <w:r>
        <w:t xml:space="preserve">3.3. Срок внесения платы — до 10-го числа следующего месяца, если иной не установлен собранием.</w:t>
      </w:r>
    </w:p>
    <w:p>
      <w:pPr>
        <w:ind w:firstLine="425"/>
      </w:pPr>
      <w:r>
        <w:t xml:space="preserve">3.4. Пени при просрочке — ч. 14 ст. 155 ЖК РФ: с 31-го дня — 1/300 ставки ЦБ, с 91-го — 1/130.</w:t>
      </w:r>
    </w:p>
    <w:p>
      <w:pPr>
        <w:pStyle w:val="ClauseHeading"/>
      </w:pPr>
      <w:r>
        <w:rPr>
          <w:b/>
        </w:rPr>
        <w:t xml:space="preserve">4. Обязанности собственника</w:t>
      </w:r>
    </w:p>
    <w:p>
      <w:pPr>
        <w:ind w:firstLine="425"/>
      </w:pPr>
      <w:r>
        <w:t xml:space="preserve">4.1. Собственник обязан: вносить плату в установленный срок; допускать представителей УК к общему имуществу и внутриквартирному оборудованию для осмотров и работ (в согласованное время, аварийные — незамедлительно); не допускать самовольного переустройства, вмешательства в общедомовые системы; уведомлять об изменении числа проживающих (при отсутствии приборов учёта); использовать помещение по назначению с соблюдением прав соседей.</w:t>
      </w:r>
    </w:p>
    <w:p>
      <w:pPr>
        <w:pStyle w:val="ClauseHeading"/>
      </w:pPr>
      <w:r>
        <w:rPr>
          <w:b/>
        </w:rPr>
        <w:t xml:space="preserve">5. Приборы учёта и передача показаний</w:t>
      </w:r>
    </w:p>
    <w:p>
      <w:pPr>
        <w:ind w:firstLine="425"/>
      </w:pPr>
      <w:r>
        <w:t xml:space="preserve">5.1. Показания индивидуальных приборов учёта передаются до 25 числа; при непередаче — начисление по среднемесячному (3 месяца), затем по нормативу с повышающим коэффициентом.</w:t>
      </w:r>
    </w:p>
    <w:p>
      <w:pPr>
        <w:ind w:firstLine="425"/>
      </w:pPr>
      <w:r>
        <w:t xml:space="preserve">5.2. Поверка приборов — обязанность собственника (кроме электросчётчиков — за гарантирующим поставщиком); просрочка поверки приравнивается к отсутствию прибора.</w:t>
      </w:r>
    </w:p>
    <w:p>
      <w:pPr>
        <w:ind w:firstLine="425"/>
      </w:pPr>
      <w:r>
        <w:t xml:space="preserve">5.3. Установка/замена — с вводом в эксплуатацию актом исполнителя в течение месяца с заявки.</w:t>
      </w:r>
    </w:p>
    <w:p>
      <w:pPr>
        <w:pStyle w:val="ClauseHeading"/>
      </w:pPr>
      <w:r>
        <w:rPr>
          <w:b/>
        </w:rPr>
        <w:t xml:space="preserve">6. Перерасчёт при нарушении качества</w:t>
      </w:r>
    </w:p>
    <w:p>
      <w:pPr>
        <w:ind w:firstLine="425"/>
      </w:pPr>
      <w:r>
        <w:t xml:space="preserve">6.1. При предоставлении услуг ненадлежащего качества или с перерывами сверх допустимых плата снижается по разд. IX Правил № 354 вплоть до полного освобождения за период нарушения.</w:t>
      </w:r>
    </w:p>
    <w:p>
      <w:pPr>
        <w:ind w:firstLine="425"/>
      </w:pPr>
      <w:r>
        <w:t xml:space="preserve">6.2. Факт — с момента заявки в АДС или акта проверки (составляется не позднее 2 часов с обращения).</w:t>
      </w:r>
    </w:p>
    <w:p>
      <w:pPr>
        <w:ind w:firstLine="425"/>
      </w:pPr>
      <w:r>
        <w:t xml:space="preserve">6.3. За необоснованное начисление УК уплачивает потребителю штраф 50% превышения (ч. 6 ст. 157 ЖК РФ).</w:t>
      </w:r>
    </w:p>
    <w:p>
      <w:pPr>
        <w:pStyle w:val="ClauseHeading"/>
      </w:pPr>
      <w:r>
        <w:rPr>
          <w:b/>
        </w:rPr>
        <w:t xml:space="preserve">7. Ответственность управляющей организации</w:t>
      </w:r>
    </w:p>
    <w:p>
      <w:pPr>
        <w:ind w:firstLine="425"/>
      </w:pPr>
      <w:r>
        <w:t xml:space="preserve">7.1. УК отвечает за вред, причинённый ненадлежащим содержанием общего имущества (заливы с кровли и стояков, падение снега и наледи, состояние подъездов), в полном объёме; к отношениям с гражданами применяется ЗоЗПП (неустойка, моральный вред, штраф 50%).</w:t>
      </w:r>
    </w:p>
    <w:p>
      <w:pPr>
        <w:ind w:firstLine="425"/>
      </w:pPr>
      <w:r>
        <w:t xml:space="preserve">7.2. Границы ответственности: внутридомовые системы до первого отключающего устройства/прибора учёта — УК; внутриквартирное оборудование после — собственник.</w:t>
      </w:r>
    </w:p>
    <w:p>
      <w:pPr>
        <w:pStyle w:val="ClauseHeading"/>
      </w:pPr>
      <w:r>
        <w:rPr>
          <w:b/>
        </w:rPr>
        <w:t xml:space="preserve">8. Информационная открытость</w:t>
      </w:r>
    </w:p>
    <w:p>
      <w:pPr>
        <w:ind w:firstLine="425"/>
      </w:pPr>
      <w:r>
        <w:t xml:space="preserve">8.1. УК размещает в ГИС ЖКХ договор, перечни работ, отчёты, протоколы собраний и начисления; предоставляет собственнику информацию и документы по запросу в течение 5 рабочих дней.</w:t>
      </w:r>
    </w:p>
    <w:p>
      <w:pPr>
        <w:ind w:firstLine="425"/>
      </w:pPr>
      <w:r>
        <w:t xml:space="preserve">8.2. Ежегодный отчёт — в первом квартале за прошедший год с рассмотрением на собрании.</w:t>
      </w:r>
    </w:p>
    <w:p>
      <w:pPr>
        <w:pStyle w:val="ClauseHeading"/>
      </w:pPr>
      <w:r>
        <w:rPr>
          <w:b/>
        </w:rPr>
        <w:t xml:space="preserve">9. Срок действия, изменение и расторжение</w:t>
      </w:r>
    </w:p>
    <w:p>
      <w:pPr>
        <w:ind w:firstLine="425"/>
      </w:pPr>
      <w:r>
        <w:t xml:space="preserve">9.1. Договор действует с ______ на срок: ______; при отсутствии заявления одной из сторон о прекращении — продлевается на тот же срок на тех же условиях.</w:t>
      </w:r>
    </w:p>
    <w:p>
      <w:pPr>
        <w:ind w:firstLine="425"/>
      </w:pPr>
      <w:r>
        <w:t xml:space="preserve">9.2. Собственники вправе в одностороннем порядке отказаться от договора: на основании решения общего собрания — при невыполнении УК условий договора, а также при выборе иной УК или способа управления (ч. 8.2 ст. 162 ЖК РФ).</w:t>
      </w:r>
    </w:p>
    <w:p>
      <w:pPr>
        <w:ind w:firstLine="425"/>
      </w:pPr>
      <w:r>
        <w:t xml:space="preserve">9.3. При прекращении договора УК в течение 3 рабочих дней передаёт техническую документацию новой организации.</w:t>
      </w:r>
    </w:p>
    <w:p>
      <w:pPr>
        <w:pStyle w:val="ClauseHeading"/>
      </w:pPr>
      <w:r>
        <w:rPr>
          <w:b/>
        </w:rPr>
        <w:t xml:space="preserve">10. Ответственность за просрочку</w:t>
      </w:r>
    </w:p>
    <w:p>
      <w:pPr>
        <w:ind w:firstLine="425"/>
      </w:pPr>
      <w:r>
        <w:t xml:space="preserve">10.1.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10.2.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10.3.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12. Претензионный порядок и споры</w:t>
      </w:r>
    </w:p>
    <w:p>
      <w:pPr>
        <w:ind w:firstLine="425"/>
      </w:pPr>
      <w:r>
        <w:t xml:space="preserve">12.1.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12.2. При недостижении согласия спор передаётся в суде по выбору потребителя (ст. 17 ЗоЗПП).</w:t>
      </w:r>
    </w:p>
    <w:p>
      <w:pPr>
        <w:ind w:firstLine="425"/>
      </w:pPr>
      <w:r>
        <w:t xml:space="preserve">12.3.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13. Юридически значимые сообщения</w:t>
      </w:r>
    </w:p>
    <w:p>
      <w:pPr>
        <w:ind w:firstLine="425"/>
      </w:pPr>
      <w:r>
        <w:t xml:space="preserve">13.1.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13.2.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14.2.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14.3.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14.5.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Состав общего имущества многоквартирного дома</w:t>
      </w:r>
    </w:p>
    <w:p>
      <w:pPr>
        <w:ind w:firstLine="425"/>
      </w:pPr>
      <w:r>
        <w:t xml:space="preserve">Состав общего имущества очерчивает границу ответственности управляющей организации: всё, что в перечень не вошло, обслуживается собственником самостоятельно.</w:t>
      </w:r>
    </w:p>
    <w:p>
      <w:pPr>
        <w:ind w:firstLine="425"/>
      </w:pPr>
      <w:r>
        <w:t xml:space="preserve">Адрес дома: ______.</w:t>
      </w:r>
    </w:p>
    <w:p>
      <w:pPr>
        <w:ind w:firstLine="425"/>
      </w:pPr>
      <w:r>
        <w:t xml:space="preserve">1. Помещения общего пользования: межквартирные лестничные площадки, лестницы, лифты и лифтовые шахты, коридоры, технические этажи, чердаки, подвалы с инженерными коммуникациями.</w:t>
      </w:r>
    </w:p>
    <w:p>
      <w:pPr>
        <w:ind w:firstLine="425"/>
      </w:pPr>
      <w:r>
        <w:t xml:space="preserve">2. Крыша, ограждающие несущие конструкции (фундаменты, несущие стены, плиты перекрытий, балконные плиты, колонны).</w:t>
      </w:r>
    </w:p>
    <w:p>
      <w:pPr>
        <w:ind w:firstLine="425"/>
      </w:pPr>
      <w:r>
        <w:t xml:space="preserve">3. Ограждающие ненесущие конструкции, обслуживающие более одного помещения: окна и двери помещений общего пользования, перила, парапеты.</w:t>
      </w:r>
    </w:p>
    <w:p>
      <w:pPr>
        <w:ind w:firstLine="425"/>
      </w:pPr>
      <w:r>
        <w:t xml:space="preserve">4. Внутридомовые инженерные системы холодного и горячего водоснабжения, водоотведения, отопления, газоснабжения и электроснабжения — до границы эксплуатационной ответственности.</w:t>
      </w:r>
    </w:p>
    <w:p>
      <w:pPr>
        <w:ind w:firstLine="425"/>
      </w:pPr>
      <w:r>
        <w:t xml:space="preserve">5. Механическое, электрическое, санитарно-техническое и иное оборудование, обслуживающее более одного помещения.</w:t>
      </w:r>
    </w:p>
    <w:p>
      <w:pPr>
        <w:ind w:firstLine="425"/>
      </w:pPr>
      <w:r>
        <w:t xml:space="preserve">6. Земельный участок с элементами озеленения и благоустройства, кадастровый номер ____________.</w:t>
      </w:r>
    </w:p>
    <w:p>
      <w:pPr>
        <w:ind w:firstLine="425"/>
      </w:pPr>
      <w:r>
        <w:t xml:space="preserve">7. Иные объекты: ______________________________</w:t>
      </w:r>
    </w:p>
    <w:p>
      <w:pPr>
        <w:ind w:firstLine="425"/>
      </w:pPr>
      <w:r>
        <w:t xml:space="preserve">Граница эксплуатационной ответственности по внутриквартирным сетям: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услуг и работ по содержанию и ремонту</w:t>
      </w:r>
    </w:p>
    <w:p>
      <w:pPr>
        <w:ind w:firstLine="425"/>
      </w:pPr>
      <w:r>
        <w:t xml:space="preserve">Перечень услуг: ______.</w:t>
      </w:r>
    </w:p>
    <w:p>
      <w:pPr>
        <w:ind w:firstLine="425"/>
      </w:pPr>
      <w:r>
        <w:t xml:space="preserve">№ | Услуга (работа) | Периодичность | Стоимость, руб./кв. м в месяц</w:t>
      </w:r>
    </w:p>
    <w:p>
      <w:pPr>
        <w:ind w:firstLine="425"/>
      </w:pPr>
      <w:r>
        <w:t xml:space="preserve">1 | ______________________________ | ____________ | ____________</w:t>
      </w:r>
    </w:p>
    <w:p>
      <w:pPr>
        <w:ind w:firstLine="425"/>
      </w:pPr>
      <w:r>
        <w:t xml:space="preserve">2 | ______________________________ | ____________ | ____________</w:t>
      </w:r>
    </w:p>
    <w:p>
      <w:pPr>
        <w:ind w:firstLine="425"/>
      </w:pPr>
      <w:r>
        <w:t xml:space="preserve">3 | ______________________________ | ____________ | ____________</w:t>
      </w:r>
    </w:p>
    <w:p>
      <w:pPr>
        <w:ind w:firstLine="425"/>
      </w:pPr>
      <w:r>
        <w:t xml:space="preserve">4 | ______________________________ | ____________ | ____________</w:t>
      </w:r>
    </w:p>
    <w:p>
      <w:pPr>
        <w:ind w:firstLine="425"/>
      </w:pPr>
      <w:r>
        <w:t xml:space="preserve">Итого размер платы: ______.</w:t>
      </w:r>
    </w:p>
    <w:p>
      <w:pPr>
        <w:ind w:firstLine="425"/>
      </w:pPr>
      <w:r>
        <w:t xml:space="preserve">Аварийно-диспетчерская служба: ______, круглосуточно.</w:t>
      </w:r>
    </w:p>
    <w:p>
      <w:pPr>
        <w:ind w:firstLine="425"/>
      </w:pPr>
      <w:r>
        <w:t xml:space="preserve">Периодичность отчёта управляющей организации: ______.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Управляющая организация (ТСЖ, РСО)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Управляющая организация (ТСЖ, РСО)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Собственник (наниматель)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Собственник (наниматель)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(ЖКХ)» с сайта primadoc.ru. Документ, заполненный под вашу ситуацию, собирается в конструкторе: https://primadoc.ru/doc/dogovor-zhkh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(ЖКХ) — пустой бланк</dc:title>
  <dc:creator>Примадок</dc:creator>
  <dcterms:created xsi:type="dcterms:W3CDTF">2026-09-13T14:10:56Z</dcterms:created>
</cp:coreProperties>
</file>