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DocTitle"/>
      </w:pPr>
      <w:r>
        <w:t xml:space="preserve">Договор поставки</w:t>
      </w:r>
    </w:p>
    <w:p>
      <w:pPr>
        <w:tabs>
          <w:tab w:val="right" w:pos="9639"/>
        </w:tabs>
        <w:spacing w:after="240"/>
      </w:pPr>
      <w:r>
        <w:t xml:space="preserve">г. Москва</w:t>
      </w:r>
      <w:r>
        <w:tab/>
        <w:t xml:space="preserve">«12» марта 2026 г.</w:t>
      </w:r>
    </w:p>
    <w:p>
      <w:pPr>
        <w:ind w:firstLine="425"/>
      </w:pPr>
      <w:r>
        <w:t xml:space="preserve">Иванов Иван Иванович, 05.06.1985 г.р., паспорт 4510 123456, выдан ГУ МВД России по г. Москве 20.07.2015, зарегистрирован(-а) по адресу: 127015, Москва, ул. Новодмитровская, д. 2, кв. 15, именуемый(-ая) в дальнейшем «Поставщик», а также Петров Пётр Петрович, 05.06.1985 г.р., паспорт 4510 123456, выдан ГУ МВД России по г. Москве 20.07.2015, зарегистрирован(-а) по адресу: 127015, Москва, ул. Новодмитровская, д. 2, кв. 15, именуемый(-ая) в дальнейшем «Покупатель», совместно именуемые «Стороны», заключили настоящий договор о нижеследующем:</w:t>
      </w:r>
    </w:p>
    <w:p>
      <w:pPr>
        <w:pStyle w:val="ClauseHeading"/>
      </w:pPr>
      <w:r>
        <w:rPr>
          <w:b/>
        </w:rPr>
        <w:t xml:space="preserve">1. Предмет договора</w:t>
      </w:r>
    </w:p>
    <w:p>
      <w:pPr>
        <w:ind w:firstLine="425"/>
      </w:pPr>
      <w:r>
        <w:t xml:space="preserve">1.1. Иванов Иван Иванович (Поставщик) обязуется передавать в собственность Петров Пётр Петрович (Покупатель) товар: строительные материалы согласно спецификациям — в количестве, ассортименте и по ценам, согласованным в спецификациях (приложения), являющихся неотъемлемой частью договора, а Покупатель обязуется принимать и оплачивать товар (ст. 506 ГК РФ).</w:t>
      </w:r>
    </w:p>
    <w:p>
      <w:pPr>
        <w:ind w:firstLine="425"/>
      </w:pPr>
      <w:r>
        <w:t xml:space="preserve">1.2. Товар принадлежит Поставщику на праве собственности, свободен от прав третьих лиц, соответствует обязательным требованиям и сопровождается документами: счёт-фактура/УПД, товарная накладная либо транспортная накладная, документы о качестве (декларации/сертификаты соответствия), а для маркируемых товаров — сведениями в системе маркировки.</w:t>
      </w:r>
    </w:p>
    <w:p>
      <w:pPr>
        <w:pStyle w:val="ClauseHeading"/>
      </w:pPr>
      <w:r>
        <w:rPr>
          <w:b/>
        </w:rPr>
        <w:t xml:space="preserve">2. Порядок оформления поставок</w:t>
      </w:r>
    </w:p>
    <w:p>
      <w:pPr>
        <w:ind w:firstLine="425"/>
      </w:pPr>
      <w:r>
        <w:t xml:space="preserve">2.1. Поставка осуществляется единовременно одной партией; наименование, ассортимент, количество и цена товара согласованы сторонами в спецификации (приложение к договору), и дополнительного согласования заявками не требуется.</w:t>
      </w:r>
    </w:p>
    <w:p>
      <w:pPr>
        <w:ind w:firstLine="425"/>
      </w:pPr>
      <w:r>
        <w:t xml:space="preserve">2.2. Договор считается заключённым с момента подписания сторонами спецификации, а при оплате счёта Покупателем без подписания спецификации — с момента такой оплаты, если счёт содержит наименование, количество и цену товара.______Договор является рамочным: он определяет общие условия отношений сторон, которые конкретизируются и уточняются заявками Покупателя и подписываемыми на их основании спецификациями на каждую партию товара.</w:t>
      </w:r>
    </w:p>
    <w:p>
      <w:pPr>
        <w:ind w:firstLine="425"/>
      </w:pPr>
      <w:r>
        <w:t xml:space="preserve">2.3. Каждая подписанная спецификация является неотъемлемой частью Договора и представляет собой отдельное обязательство по поставке партии; недействительность или неисполнение одной спецификации не затрагивает действие Договора и остальных спецификаций.</w:t>
      </w:r>
    </w:p>
    <w:p>
      <w:pPr>
        <w:ind w:firstLine="425"/>
      </w:pPr>
      <w:r>
        <w:t xml:space="preserve">2.4. Наименование и количество товара — существенные условия: договор считается согласованным по предмету, только когда эти условия определены в спецификации, счёте или заявке (ст. 455 ГК РФ).</w:t>
      </w:r>
    </w:p>
    <w:p>
      <w:pPr>
        <w:ind w:firstLine="425"/>
      </w:pPr>
      <w:r>
        <w:t xml:space="preserve">2.5. При расхождении между условиями Договора и подписанной спецификации приоритет имеют условия спецификации.</w:t>
      </w:r>
    </w:p>
    <w:p>
      <w:pPr>
        <w:pStyle w:val="ClauseHeading"/>
      </w:pPr>
      <w:r>
        <w:rPr>
          <w:b/>
        </w:rPr>
        <w:t xml:space="preserve">3. Заявки Покупателя</w:t>
      </w:r>
    </w:p>
    <w:p>
      <w:pPr>
        <w:ind w:firstLine="425"/>
      </w:pPr>
      <w:r>
        <w:t xml:space="preserve">3.1. Покупатель направляет Поставщику заявку на партию товара с указанием наименования, ассортимента, количества, желаемого срока и адреса поставки; заявка направляется по электронной почте, указанной в реквизитах, либо через согласованную сторонами систему электронного документооборота.</w:t>
      </w:r>
    </w:p>
    <w:p>
      <w:pPr>
        <w:ind w:firstLine="425"/>
      </w:pPr>
      <w:r>
        <w:t xml:space="preserve">3.2. Поставщик рассматривает заявку и направляет Покупателю подписанную спецификацию или мотивированный отказ в течение 3______3 (трёх) рабочих дней с даты получения заявки.</w:t>
      </w:r>
    </w:p>
    <w:p>
      <w:pPr>
        <w:ind w:firstLine="425"/>
      </w:pPr>
      <w:r>
        <w:t xml:space="preserve">3.3. Молчание Поставщика не является акцептом заявки: обязательство по поставке возникает только после подписания спецификации обеими сторонами либо после выставления Поставщиком счёта на условиях заявки и его оплаты Покупателем.</w:t>
      </w:r>
    </w:p>
    <w:p>
      <w:pPr>
        <w:ind w:firstLine="425"/>
      </w:pPr>
      <w:r>
        <w:t xml:space="preserve">3.4. Поставщик вправе отказаться от принятия заявки при наличии у Покупателя просроченной задолженности, а также при отсутствии товара на складе, письменно уведомив Покупателя.</w:t>
      </w:r>
    </w:p>
    <w:p>
      <w:pPr>
        <w:ind w:firstLine="425"/>
      </w:pPr>
      <w:r>
        <w:t xml:space="preserve">3.5. Заявка, принятая Поставщиком, не может быть отозвана Покупателем в одностороннем порядке после начала комплектования партии; расходы, понесённые Поставщиком к моменту отзыва, возмещаются Покупателем.</w:t>
      </w:r>
    </w:p>
    <w:p>
      <w:pPr>
        <w:pStyle w:val="ClauseHeading"/>
      </w:pPr>
      <w:r>
        <w:rPr>
          <w:b/>
        </w:rPr>
        <w:t xml:space="preserve">4. Качество и комплектность</w:t>
      </w:r>
    </w:p>
    <w:p>
      <w:pPr>
        <w:ind w:firstLine="425"/>
      </w:pPr>
      <w:r>
        <w:t xml:space="preserve">4.1. Качество товара должно соответствовать документам производителя и условиям спецификаций, гарантийный срок: 12 месяцев с даты передачи; а также обязательным требованиям технических регламентов.</w:t>
      </w:r>
    </w:p>
    <w:p>
      <w:pPr>
        <w:ind w:firstLine="425"/>
      </w:pPr>
      <w:r>
        <w:t xml:space="preserve">4.2. Гарантийный срок (срок годности): согласно документам производителя, но не менее 2/3 общего срока годности на момент передачи для товаров с ограниченным сроком.</w:t>
      </w:r>
    </w:p>
    <w:p>
      <w:pPr>
        <w:ind w:firstLine="425"/>
      </w:pPr>
      <w:r>
        <w:t xml:space="preserve">4.3. Товар передаётся в таре и упаковке, обеспечивающих сохранность при обычных условиях транспортировки и хранения (ст. 481 ГК РФ).</w:t>
      </w:r>
    </w:p>
    <w:p>
      <w:pPr>
        <w:ind w:firstLine="425"/>
      </w:pPr>
      <w:r>
        <w:t xml:space="preserve">4.4. Требования в связи с недостатками — по ст. 518 ГК РФ: замена, устранение, соразмерное уменьшение цены; Поставщик, получивший уведомление о недостатках, вправе без промедления заменить товар — тогда иные требования не применяются.</w:t>
      </w:r>
    </w:p>
    <w:p>
      <w:pPr>
        <w:pStyle w:val="ClauseHeading"/>
      </w:pPr>
      <w:r>
        <w:rPr>
          <w:b/>
        </w:rPr>
        <w:t xml:space="preserve">5. Количество, ассортимент и комплектность</w:t>
      </w:r>
    </w:p>
    <w:p>
      <w:pPr>
        <w:ind w:firstLine="425"/>
      </w:pPr>
      <w:r>
        <w:t xml:space="preserve">5.1. Количество и ассортимент товара определяются спецификацией; при передаче товара в меньшем количестве Покупатель вправе потребовать передать недостающее количество либо отказаться от переданного товара и от его оплаты, а если товар оплачен — потребовать возврата уплаченной суммы (ст. 466 ГК РФ).</w:t>
      </w:r>
    </w:p>
    <w:p>
      <w:pPr>
        <w:ind w:firstLine="425"/>
      </w:pPr>
      <w:r>
        <w:t xml:space="preserve">5.2. Товар в ассортименте, не соответствующем спецификации, Покупатель вправе не принимать и не оплачивать.</w:t>
      </w:r>
    </w:p>
    <w:p>
      <w:pPr>
        <w:ind w:firstLine="425"/>
      </w:pPr>
      <w:r>
        <w:t xml:space="preserve">5.3. Если наряду с товарами нужного ассортимента переданы товары с нарушением ассортимента, Покупатель по своему выбору принимает соответствующую часть и отказывается от остальной либо отказывается от всей партии (ст. 468 ГК РФ).</w:t>
      </w:r>
    </w:p>
    <w:p>
      <w:pPr>
        <w:ind w:firstLine="425"/>
      </w:pPr>
      <w:r>
        <w:t xml:space="preserve">5.4. Товар, принятый Покупателем без возражений по ассортименту в разумный срок после получения, считается принятым.</w:t>
      </w:r>
    </w:p>
    <w:p>
      <w:pPr>
        <w:ind w:firstLine="425"/>
      </w:pPr>
      <w:r>
        <w:t xml:space="preserve">5.5. Комплектность товара определяется спецификацией и документами производителя; при передаче некомплектного товара Покупатель вправе требовать соразмерного уменьшения цены либо доукомплектования в разумный срок, а при невыполнении этого требования — замены на комплектный либо отказа от исполнения с возвратом уплаченного (ст. 519 ГК РФ).</w:t>
      </w:r>
    </w:p>
    <w:p>
      <w:pPr>
        <w:pStyle w:val="ClauseHeading"/>
      </w:pPr>
      <w:r>
        <w:rPr>
          <w:b/>
        </w:rPr>
        <w:t xml:space="preserve">6. Порядок поставки</w:t>
      </w:r>
    </w:p>
    <w:p>
      <w:pPr>
        <w:ind w:firstLine="425"/>
      </w:pPr>
      <w:r>
        <w:t xml:space="preserve">6.1. Поставка осуществляется: доставка транспортом Поставщика — в сроки, согласованные спецификацией; допускается досрочная поставка с согласия Покупателя.</w:t>
      </w:r>
    </w:p>
    <w:p>
      <w:pPr>
        <w:ind w:firstLine="425"/>
      </w:pPr>
      <w:r>
        <w:t xml:space="preserve">6.2. Обязанность Поставщика считается исполненной: при доставке — в момент вручения товара Покупателю (получателю); при выборке — в момент предоставления товара в распоряжение Покупателя в месте нахождения Поставщика с уведомлением о готовности (ст. 510, 458 ГК РФ); с этого момента переходит риск случайной гибели.</w:t>
      </w:r>
    </w:p>
    <w:p>
      <w:pPr>
        <w:ind w:firstLine="425"/>
      </w:pPr>
      <w:r>
        <w:t xml:space="preserve">6.3. Отгрузочные разнарядки (при поставке получателям) направляются Покупателем не позднее 5 дней до периода поставки.</w:t>
      </w:r>
    </w:p>
    <w:p>
      <w:pPr>
        <w:ind w:firstLine="425"/>
      </w:pPr>
      <w:r>
        <w:t xml:space="preserve">6.4. Невыборка товара в срок даёт Поставщику право отказаться от исполнения соответствующей партии либо потребовать оплаты и возмещения расходов на хранение.</w:t>
      </w:r>
    </w:p>
    <w:p>
      <w:pPr>
        <w:pStyle w:val="ClauseHeading"/>
      </w:pPr>
      <w:r>
        <w:rPr>
          <w:b/>
        </w:rPr>
        <w:t xml:space="preserve">7. Периоды поставки и досрочная поставка</w:t>
      </w:r>
    </w:p>
    <w:p>
      <w:pPr>
        <w:ind w:firstLine="425"/>
      </w:pPr>
      <w:r>
        <w:t xml:space="preserve">7.1. Поставка партий в течение срока действия Договора производится в периоды, определённые спецификациями; если периоды не определены, товар поставляется равномерными партиями помесячно (ст. 508 ГК РФ).</w:t>
      </w:r>
    </w:p>
    <w:p>
      <w:pPr>
        <w:ind w:firstLine="425"/>
      </w:pPr>
      <w:r>
        <w:t xml:space="preserve">7.2. Срок поставки партии: 10 рабочих дней с даты, определённой спецификацией, а при поставке по предоплате — с даты поступления денежных средств на счёт Поставщика.</w:t>
      </w:r>
    </w:p>
    <w:p>
      <w:pPr>
        <w:ind w:firstLine="425"/>
      </w:pPr>
      <w:r>
        <w:t xml:space="preserve">7.3. Досрочная поставка допускается только с письменного согласия Покупателя.</w:t>
      </w:r>
    </w:p>
    <w:p>
      <w:pPr>
        <w:ind w:firstLine="425"/>
      </w:pPr>
      <w:r>
        <w:t xml:space="preserve">7.4. Досрочно поставленный и принятый товар засчитывается в счёт количества, подлежащего поставке в следующем периоде.</w:t>
      </w:r>
    </w:p>
    <w:p>
      <w:pPr>
        <w:ind w:firstLine="425"/>
      </w:pPr>
      <w:r>
        <w:t xml:space="preserve">7.5. Наряду со сроками поставки стороны вправе согласовать в спецификации график поставки (декадный, суточный, часовой).</w:t>
      </w:r>
    </w:p>
    <w:p>
      <w:pPr>
        <w:ind w:firstLine="425"/>
      </w:pPr>
      <w:r>
        <w:t xml:space="preserve">7.6. Отгрузочные разнарядки с указанием получателей направляются Покупателем не позднее чем за 5 (пять) рабочих дней до наступления периода поставки; непредставление разнарядки в срок даёт Поставщику право отказаться от исполнения по соответствующей партии либо потребовать оплаты товара (ст. 509 ГК РФ).</w:t>
      </w:r>
    </w:p>
    <w:p>
      <w:pPr>
        <w:pStyle w:val="ClauseHeading"/>
      </w:pPr>
      <w:r>
        <w:rPr>
          <w:b/>
        </w:rPr>
        <w:t xml:space="preserve">8. Перевозка и транспортные документы</w:t>
      </w:r>
    </w:p>
    <w:p>
      <w:pPr>
        <w:ind w:firstLine="425"/>
      </w:pPr>
      <w:r>
        <w:t xml:space="preserve">8.1. При доставке товара транспортом Поставщика или привлечённым им перевозчиком Поставщик обеспечивает надлежащую погрузку, крепление и сохранность груза в пути и передаёт Покупателю транспортную накладную.</w:t>
      </w:r>
    </w:p>
    <w:p>
      <w:pPr>
        <w:ind w:firstLine="425"/>
      </w:pPr>
      <w:r>
        <w:t xml:space="preserve">8.2. Если по спецификации доставку организует Покупатель, договор перевозки заключает Покупатель, а Поставщик обязан подготовить товар к отгрузке и передать его перевозчику в согласованную дату, уведомив Покупателя об отгрузке в течение одного рабочего дня с указанием реквизитов перевозчика и номера транспортного документа.</w:t>
      </w:r>
    </w:p>
    <w:p>
      <w:pPr>
        <w:ind w:firstLine="425"/>
      </w:pPr>
      <w:r>
        <w:t xml:space="preserve">8.3. Расходы на перевозку и страхование груза несёт сторона, определённая спецификацией; при отсутствии такого условия расходы несёт сторона, организующая перевозку (ст. 510 ГК РФ).</w:t>
      </w:r>
    </w:p>
    <w:p>
      <w:pPr>
        <w:ind w:firstLine="425"/>
      </w:pPr>
      <w:r>
        <w:t xml:space="preserve">8.4. Претензии к перевозчику в связи с утратой, недостачей или повреждением груза в пути предъявляет сторона, заключившая договор перевозки; другая сторона обязана предоставить для этого необходимые документы в течение 5 (пяти) рабочих дней с даты запроса.</w:t>
      </w:r>
    </w:p>
    <w:p>
      <w:pPr>
        <w:ind w:firstLine="425"/>
      </w:pPr>
      <w:r>
        <w:t xml:space="preserve">8.5. Товар считается принятым от перевозчика без замечаний, если в транспортных документах не сделана отметка о недостаче или повреждении.</w:t>
      </w:r>
    </w:p>
    <w:p>
      <w:pPr>
        <w:pStyle w:val="ClauseHeading"/>
      </w:pPr>
      <w:r>
        <w:rPr>
          <w:b/>
        </w:rPr>
        <w:t xml:space="preserve">9. Тара и упаковка</w:t>
      </w:r>
    </w:p>
    <w:p>
      <w:pPr>
        <w:ind w:firstLine="425"/>
      </w:pPr>
      <w:r>
        <w:t xml:space="preserve">9.1. Товар передаётся в таре и упаковке, обеспечивающих его сохранность при обычных условиях хранения и транспортировки, а при наличии обязательных требований к таре — соответствующих этим требованиям (ст. 481 ГК РФ).</w:t>
      </w:r>
    </w:p>
    <w:p>
      <w:pPr>
        <w:ind w:firstLine="425"/>
      </w:pPr>
      <w:r>
        <w:t xml:space="preserve">9.2. Передача товара без тары либо в ненадлежащей таре даёт Покупателю право потребовать затарить или упаковать товар, заменить ненадлежащую тару либо предъявить требования, вытекающие из передачи товара ненадлежащего качества (ст. 482 ГК РФ).</w:t>
      </w:r>
    </w:p>
    <w:p>
      <w:pPr>
        <w:ind w:firstLine="425"/>
      </w:pPr>
      <w:r>
        <w:t xml:space="preserve">9.3. Товар поставляется в многооборотной таре (поддоны, контейнеры, бочки, кеги), которая остаётся собственностью Поставщика и подлежит возврату.</w:t>
      </w:r>
    </w:p>
    <w:p>
      <w:pPr>
        <w:ind w:firstLine="425"/>
      </w:pPr>
      <w:r>
        <w:t xml:space="preserve">9.4. Покупатель возвращает тару в исправном состоянии в течение 30______30 (тридцати) дней с даты поставки партии; возврат оформляется накладной.</w:t>
      </w:r>
    </w:p>
    <w:p>
      <w:pPr>
        <w:ind w:firstLine="425"/>
      </w:pPr>
      <w:r>
        <w:t xml:space="preserve">9.5. Залоговая стоимость единицы многооборотной тары составляет 1 500 и возвращается Покупателю после возврата тары либо засчитывается в счёт очередного платежа.</w:t>
      </w:r>
    </w:p>
    <w:p>
      <w:pPr>
        <w:ind w:firstLine="425"/>
      </w:pPr>
      <w:r>
        <w:t xml:space="preserve">9.6. При невозврате, утрате или повреждении тары Покупатель оплачивает её залоговую стоимость на основании требования Поставщика в течение 10 (десяти) рабочих дней.______Стоимость тары и упаковки включена в цену товара и отдельно не оплачивается; возврату тара не подлежит.</w:t>
      </w:r>
    </w:p>
    <w:p>
      <w:pPr>
        <w:pStyle w:val="ClauseHeading"/>
      </w:pPr>
      <w:r>
        <w:rPr>
          <w:b/>
        </w:rPr>
        <w:t xml:space="preserve">10. Цена и расчёты</w:t>
      </w:r>
    </w:p>
    <w:p>
      <w:pPr>
        <w:ind w:firstLine="425"/>
      </w:pPr>
      <w:r>
        <w:t xml:space="preserve">10.1. Цены на товар согласуются спецификациями и включают: включая НДС 22%.</w:t>
      </w:r>
    </w:p>
    <w:p>
      <w:pPr>
        <w:ind w:firstLine="425"/>
      </w:pPr>
      <w:r>
        <w:t xml:space="preserve">10.2. Порядок оплаты: 100% предоплата по счёту; днём оплаты считается день зачисления средств.</w:t>
      </w:r>
    </w:p>
    <w:p>
      <w:pPr>
        <w:ind w:firstLine="425"/>
      </w:pPr>
      <w:r>
        <w:t xml:space="preserve">10.3. При поставке с отсрочкой платежа товар не признаётся находящимся в залоге у Поставщика (стороны исключают применение п. 5 ст. 488 ГК РФ), если спецификацией прямо не предусмотрено иное.</w:t>
      </w:r>
    </w:p>
    <w:p>
      <w:pPr>
        <w:ind w:firstLine="425"/>
      </w:pPr>
      <w:r>
        <w:t xml:space="preserve">10.4. Изменение цен на согласованные спецификациями партии в одностороннем порядке не допускается; на будущие партии цены согласовываются заново.</w:t>
      </w:r>
    </w:p>
    <w:p>
      <w:pPr>
        <w:pStyle w:val="ClauseHeading"/>
      </w:pPr>
      <w:r>
        <w:rPr>
          <w:b/>
        </w:rPr>
        <w:t xml:space="preserve">11. Документооборот и сверка расчётов</w:t>
      </w:r>
    </w:p>
    <w:p>
      <w:pPr>
        <w:ind w:firstLine="425"/>
      </w:pPr>
      <w:r>
        <w:t xml:space="preserve">11.1. Поставщик передаёт Покупателю вместе с товаром или направляет не позднее 5 (пяти) рабочих дней с даты отгрузки универсальный передаточный документ либо товарную накладную и счёт-фактуру, а также документы, подтверждающие качество и безопасность товара.</w:t>
      </w:r>
    </w:p>
    <w:p>
      <w:pPr>
        <w:ind w:firstLine="425"/>
      </w:pPr>
      <w:r>
        <w:t xml:space="preserve">11.2. Стороны обмениваются первичными учётными документами и счетами-фактурами в электронной форме через оператора электронного документооборота СБИС / Диадок; документы, подписанные усиленной квалифицированной электронной подписью, признаются равнозначными документам на бумажном носителе (ст. 6 63-ФЗ).______Документы оформляются на бумажном носителе и передаются уполномоченным представителям сторон под подпись либо направляются почтой.</w:t>
      </w:r>
    </w:p>
    <w:p>
      <w:pPr>
        <w:ind w:firstLine="425"/>
      </w:pPr>
      <w:r>
        <w:t xml:space="preserve">11.3. При поставке товаров, подлежащих обязательной маркировке средствами идентификации или прослеживаемости, Поставщик передаёт сведения в соответствующую государственную информационную систему и указывает необходимые реквизиты в передаточных документах.</w:t>
      </w:r>
    </w:p>
    <w:p>
      <w:pPr>
        <w:ind w:firstLine="425"/>
      </w:pPr>
      <w:r>
        <w:t xml:space="preserve">11.4. Сверка взаимных расчётов проводится не реже одного раза в квартал; акт сверки, направленный одной стороной и не возвращённый с возражениями в течение 10 (десяти) рабочих дней, считается согласованным.</w:t>
      </w:r>
    </w:p>
    <w:p>
      <w:pPr>
        <w:ind w:firstLine="425"/>
      </w:pPr>
      <w:r>
        <w:t xml:space="preserve">11.5. Стороны обязаны хранить первичные документы по Договору не менее пяти лет.</w:t>
      </w:r>
    </w:p>
    <w:p>
      <w:pPr>
        <w:pStyle w:val="ClauseHeading"/>
      </w:pPr>
      <w:r>
        <w:rPr>
          <w:b/>
        </w:rPr>
        <w:t xml:space="preserve">12. Срок действия и расторжение</w:t>
      </w:r>
    </w:p>
    <w:p>
      <w:pPr>
        <w:ind w:firstLine="425"/>
      </w:pPr>
      <w:r>
        <w:t xml:space="preserve">12.1. Договор действует с даты подписания по 31 декабря года заключения и считается продлённым на каждый следующий календарный год, если ни одна из сторон не заявит письменно о прекращении не позднее чем за 30 (тридцать) календарных дней до истечения срока.</w:t>
      </w:r>
    </w:p>
    <w:p>
      <w:pPr>
        <w:ind w:firstLine="425"/>
      </w:pPr>
      <w:r>
        <w:t xml:space="preserve">12.2. Окончание срока действия Договора не освобождает стороны от исполнения обязательств по подписанным и не исполненным спецификациям, а также от ответственности за нарушения, допущенные в период его действия (ст. 425 ГК РФ).</w:t>
      </w:r>
    </w:p>
    <w:p>
      <w:pPr>
        <w:ind w:firstLine="425"/>
      </w:pPr>
      <w:r>
        <w:t xml:space="preserve">12.3. Изменение и расторжение Договора по соглашению сторон оформляются письменно дополнительным соглашением (ст. 452 ГК РФ).</w:t>
      </w:r>
    </w:p>
    <w:p>
      <w:pPr>
        <w:ind w:firstLine="425"/>
      </w:pPr>
      <w:r>
        <w:t xml:space="preserve">12.4. Любая сторона вправе отказаться от Договора во внесудебном порядке, письменно уведомив другую сторону не менее чем за 30 (тридцать) календарных дней, при условии полного исполнения обязательств по ранее подписанным спецификациям (ст. 450.1 ГК РФ).</w:t>
      </w:r>
    </w:p>
    <w:p>
      <w:pPr>
        <w:ind w:firstLine="425"/>
      </w:pPr>
      <w:r>
        <w:t xml:space="preserve">12.5. При расторжении Договора стороны в течение 10 (десяти) рабочих дней проводят сверку расчётов и погашают взаимную задолженность (ст. 453 ГК РФ).</w:t>
      </w:r>
    </w:p>
    <w:p>
      <w:pPr>
        <w:pStyle w:val="ClauseHeading"/>
      </w:pPr>
      <w:r>
        <w:rPr>
          <w:b/>
        </w:rPr>
        <w:t xml:space="preserve">13. Заключительные положения</w:t>
      </w:r>
    </w:p>
    <w:p>
      <w:pPr>
        <w:ind w:firstLine="425"/>
      </w:pPr>
      <w:r>
        <w:t xml:space="preserve">13.1. Договор вступает в силу с даты подписания и действует до полного исполнения сторонами обязательств; составлен в двух экземплярах равной юридической силы.</w:t>
      </w:r>
    </w:p>
    <w:p>
      <w:pPr>
        <w:ind w:firstLine="425"/>
      </w:pPr>
      <w:r>
        <w:t xml:space="preserve">13.2. Изменения действительны в письменной форме за подписью уполномоченных представителей.</w:t>
      </w:r>
    </w:p>
    <w:p>
      <w:pPr>
        <w:ind w:firstLine="425"/>
      </w:pPr>
      <w:r>
        <w:t xml:space="preserve">13.3. Во всём ином стороны руководствуются законодательством Российской Федерации (ст. 434 ГК РФ).</w:t>
      </w:r>
    </w:p>
    <w:p>
      <w:pPr>
        <w:pageBreakBefore/>
      </w:pPr>
    </w:p>
    <w:p>
      <w:pPr>
        <w:jc w:val="right"/>
      </w:pPr>
      <w:r>
        <w:rPr>
          <w:b/>
        </w:rPr>
        <w:t xml:space="preserve">Приложение № 1 к документу</w:t>
      </w:r>
    </w:p>
    <w:p>
      <w:pPr>
        <w:pStyle w:val="DocTitle"/>
      </w:pPr>
      <w:r>
        <w:t xml:space="preserve">Спецификация</w:t>
      </w:r>
    </w:p>
    <w:p>
      <w:pPr>
        <w:ind w:firstLine="425"/>
      </w:pPr>
      <w:r>
        <w:t xml:space="preserve">Спецификация определяет наименование, ассортимент, количество и цену товара; без согласования этих условий предмет договора поставки считается несогласованным (п. 3 ст. 455, п. 5 ст. 454 ГК РФ).</w:t>
      </w:r>
    </w:p>
    <w:p>
      <w:pPr>
        <w:ind w:firstLine="425"/>
      </w:pPr>
      <w:r>
        <w:t xml:space="preserve">СПЕЦИФИКАЦИЯ № ______ от «____» ______________ 20____ г.</w:t>
      </w:r>
    </w:p>
    <w:p>
      <w:pPr>
        <w:ind w:firstLine="425"/>
      </w:pPr>
      <w:r>
        <w:t xml:space="preserve">Товар: строительные материалы согласно спецификациям.</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556"/>
        <w:gridCol w:w="3707"/>
        <w:gridCol w:w="741"/>
        <w:gridCol w:w="1854"/>
        <w:gridCol w:w="1668"/>
        <w:gridCol w:w="1112"/>
      </w:tblGrid>
      <w:tr>
        <w:tc>
          <w:tcPr>
            <w:tcW w:w="288" w:type="pct"/>
            <w:vAlign w:val="center"/>
          </w:tcPr>
          <w:p>
            <w:pPr>
              <w:jc w:val="center"/>
              <w:ind w:firstLine="0"/>
            </w:pPr>
            <w:r>
              <w:rPr>
                <w:b/>
              </w:rPr>
              <w:t xml:space="preserve">№</w:t>
            </w:r>
          </w:p>
        </w:tc>
        <w:tc>
          <w:tcPr>
            <w:tcW w:w="1923" w:type="pct"/>
            <w:vAlign w:val="center"/>
          </w:tcPr>
          <w:p>
            <w:pPr>
              <w:jc w:val="center"/>
              <w:ind w:firstLine="0"/>
            </w:pPr>
            <w:r>
              <w:rPr>
                <w:b/>
              </w:rPr>
              <w:t xml:space="preserve">Наименование, характеристики, ГОСТ/ТУ</w:t>
            </w:r>
          </w:p>
        </w:tc>
        <w:tc>
          <w:tcPr>
            <w:tcW w:w="385" w:type="pct"/>
            <w:vAlign w:val="center"/>
          </w:tcPr>
          <w:p>
            <w:pPr>
              <w:jc w:val="center"/>
              <w:ind w:firstLine="0"/>
            </w:pPr>
            <w:r>
              <w:rPr>
                <w:b/>
              </w:rPr>
              <w:t xml:space="preserve">Ед. изм.</w:t>
            </w:r>
          </w:p>
        </w:tc>
        <w:tc>
          <w:tcPr>
            <w:tcW w:w="962" w:type="pct"/>
            <w:vAlign w:val="center"/>
          </w:tcPr>
          <w:p>
            <w:pPr>
              <w:jc w:val="center"/>
              <w:ind w:firstLine="0"/>
            </w:pPr>
            <w:r>
              <w:rPr>
                <w:b/>
              </w:rPr>
              <w:t xml:space="preserve">Количество</w:t>
            </w:r>
          </w:p>
        </w:tc>
        <w:tc>
          <w:tcPr>
            <w:tcW w:w="865" w:type="pct"/>
            <w:vAlign w:val="center"/>
          </w:tcPr>
          <w:p>
            <w:pPr>
              <w:jc w:val="center"/>
              <w:ind w:firstLine="0"/>
            </w:pPr>
            <w:r>
              <w:rPr>
                <w:b/>
              </w:rPr>
              <w:t xml:space="preserve">Цена за ед., руб.</w:t>
            </w:r>
          </w:p>
        </w:tc>
        <w:tc>
          <w:tcPr>
            <w:tcW w:w="577" w:type="pct"/>
            <w:vAlign w:val="center"/>
          </w:tcPr>
          <w:p>
            <w:pPr>
              <w:jc w:val="center"/>
              <w:ind w:firstLine="0"/>
            </w:pPr>
            <w:r>
              <w:rPr>
                <w:b/>
              </w:rPr>
              <w:t xml:space="preserve">Сумма, руб.</w:t>
            </w:r>
          </w:p>
        </w:tc>
      </w:tr>
      <w:tr>
        <w:tc>
          <w:tcPr>
            <w:tcW w:w="288" w:type="pct"/>
            <w:vAlign w:val="center"/>
          </w:tcPr>
          <w:p>
            <w:pPr>
              <w:jc w:val="center"/>
              <w:ind w:firstLine="0"/>
            </w:pPr>
            <w:r>
              <w:t xml:space="preserve">1</w:t>
            </w:r>
          </w:p>
        </w:tc>
        <w:tc>
          <w:tcPr>
            <w:tcW w:w="1923" w:type="pct"/>
            <w:vAlign w:val="center"/>
          </w:tcPr>
          <w:p>
            <w:pPr>
              <w:jc w:val="left"/>
              <w:ind w:firstLine="0"/>
            </w:pPr>
            <w:r>
              <w:t xml:space="preserve">Труба стальная ВГП 25×3,2, ГОСТ 3262-75</w:t>
            </w:r>
          </w:p>
        </w:tc>
        <w:tc>
          <w:tcPr>
            <w:tcW w:w="385" w:type="pct"/>
            <w:vAlign w:val="center"/>
          </w:tcPr>
          <w:p>
            <w:pPr>
              <w:jc w:val="left"/>
              <w:ind w:firstLine="0"/>
            </w:pPr>
          </w:p>
        </w:tc>
        <w:tc>
          <w:tcPr>
            <w:tcW w:w="962" w:type="pct"/>
            <w:vAlign w:val="center"/>
          </w:tcPr>
          <w:p>
            <w:pPr>
              <w:jc w:val="left"/>
              <w:ind w:firstLine="0"/>
            </w:pPr>
            <w:r>
              <w:t xml:space="preserve">10</w:t>
            </w:r>
          </w:p>
        </w:tc>
        <w:tc>
          <w:tcPr>
            <w:tcW w:w="865" w:type="pct"/>
            <w:vAlign w:val="center"/>
          </w:tcPr>
          <w:p>
            <w:pPr>
              <w:jc w:val="left"/>
              <w:ind w:firstLine="0"/>
            </w:pPr>
            <w:r>
              <w:t xml:space="preserve">100 000</w:t>
            </w:r>
          </w:p>
        </w:tc>
        <w:tc>
          <w:tcPr>
            <w:tcW w:w="577" w:type="pct"/>
            <w:vAlign w:val="center"/>
          </w:tcPr>
          <w:p>
            <w:pPr>
              <w:jc w:val="left"/>
              <w:ind w:firstLine="0"/>
            </w:pPr>
          </w:p>
        </w:tc>
      </w:tr>
      <w:tr>
        <w:tc>
          <w:tcPr>
            <w:tcW w:w="288" w:type="pct"/>
            <w:vAlign w:val="center"/>
          </w:tcPr>
          <w:p>
            <w:pPr>
              <w:jc w:val="center"/>
              <w:ind w:firstLine="0"/>
            </w:pPr>
            <w:r>
              <w:t xml:space="preserve">2</w:t>
            </w:r>
          </w:p>
        </w:tc>
        <w:tc>
          <w:tcPr>
            <w:tcW w:w="1923" w:type="pct"/>
            <w:vAlign w:val="center"/>
          </w:tcPr>
          <w:p>
            <w:pPr>
              <w:jc w:val="left"/>
              <w:ind w:firstLine="0"/>
            </w:pPr>
          </w:p>
        </w:tc>
        <w:tc>
          <w:tcPr>
            <w:tcW w:w="385" w:type="pct"/>
            <w:vAlign w:val="center"/>
          </w:tcPr>
          <w:p>
            <w:pPr>
              <w:jc w:val="left"/>
              <w:ind w:firstLine="0"/>
            </w:pPr>
          </w:p>
        </w:tc>
        <w:tc>
          <w:tcPr>
            <w:tcW w:w="962" w:type="pct"/>
            <w:vAlign w:val="center"/>
          </w:tcPr>
          <w:p>
            <w:pPr>
              <w:jc w:val="left"/>
              <w:ind w:firstLine="0"/>
            </w:pPr>
          </w:p>
        </w:tc>
        <w:tc>
          <w:tcPr>
            <w:tcW w:w="865" w:type="pct"/>
            <w:vAlign w:val="center"/>
          </w:tcPr>
          <w:p>
            <w:pPr>
              <w:jc w:val="left"/>
              <w:ind w:firstLine="0"/>
            </w:pPr>
          </w:p>
        </w:tc>
        <w:tc>
          <w:tcPr>
            <w:tcW w:w="577" w:type="pct"/>
            <w:vAlign w:val="center"/>
          </w:tcPr>
          <w:p>
            <w:pPr>
              <w:jc w:val="left"/>
              <w:ind w:firstLine="0"/>
            </w:pPr>
          </w:p>
        </w:tc>
      </w:tr>
      <w:tr>
        <w:tc>
          <w:tcPr>
            <w:tcW w:w="288" w:type="pct"/>
            <w:vAlign w:val="center"/>
          </w:tcPr>
          <w:p>
            <w:pPr>
              <w:jc w:val="center"/>
              <w:ind w:firstLine="0"/>
            </w:pPr>
            <w:r>
              <w:t xml:space="preserve">3</w:t>
            </w:r>
          </w:p>
        </w:tc>
        <w:tc>
          <w:tcPr>
            <w:tcW w:w="1923" w:type="pct"/>
            <w:vAlign w:val="center"/>
          </w:tcPr>
          <w:p>
            <w:pPr>
              <w:jc w:val="left"/>
              <w:ind w:firstLine="0"/>
            </w:pPr>
          </w:p>
        </w:tc>
        <w:tc>
          <w:tcPr>
            <w:tcW w:w="385" w:type="pct"/>
            <w:vAlign w:val="center"/>
          </w:tcPr>
          <w:p>
            <w:pPr>
              <w:jc w:val="left"/>
              <w:ind w:firstLine="0"/>
            </w:pPr>
          </w:p>
        </w:tc>
        <w:tc>
          <w:tcPr>
            <w:tcW w:w="962" w:type="pct"/>
            <w:vAlign w:val="center"/>
          </w:tcPr>
          <w:p>
            <w:pPr>
              <w:jc w:val="left"/>
              <w:ind w:firstLine="0"/>
            </w:pPr>
          </w:p>
        </w:tc>
        <w:tc>
          <w:tcPr>
            <w:tcW w:w="865" w:type="pct"/>
            <w:vAlign w:val="center"/>
          </w:tcPr>
          <w:p>
            <w:pPr>
              <w:jc w:val="left"/>
              <w:ind w:firstLine="0"/>
            </w:pPr>
          </w:p>
        </w:tc>
        <w:tc>
          <w:tcPr>
            <w:tcW w:w="577" w:type="pct"/>
            <w:vAlign w:val="center"/>
          </w:tcPr>
          <w:p>
            <w:pPr>
              <w:jc w:val="left"/>
              <w:ind w:firstLine="0"/>
            </w:pPr>
          </w:p>
        </w:tc>
      </w:tr>
      <w:tr>
        <w:tc>
          <w:tcPr>
            <w:tcW w:w="288" w:type="pct"/>
            <w:vAlign w:val="center"/>
          </w:tcPr>
          <w:p>
            <w:pPr>
              <w:jc w:val="center"/>
              <w:ind w:firstLine="0"/>
            </w:pPr>
            <w:r>
              <w:t xml:space="preserve">4</w:t>
            </w:r>
          </w:p>
        </w:tc>
        <w:tc>
          <w:tcPr>
            <w:tcW w:w="1923" w:type="pct"/>
            <w:vAlign w:val="center"/>
          </w:tcPr>
          <w:p>
            <w:pPr>
              <w:jc w:val="left"/>
              <w:ind w:firstLine="0"/>
            </w:pPr>
          </w:p>
        </w:tc>
        <w:tc>
          <w:tcPr>
            <w:tcW w:w="385" w:type="pct"/>
            <w:vAlign w:val="center"/>
          </w:tcPr>
          <w:p>
            <w:pPr>
              <w:jc w:val="left"/>
              <w:ind w:firstLine="0"/>
            </w:pPr>
          </w:p>
        </w:tc>
        <w:tc>
          <w:tcPr>
            <w:tcW w:w="962" w:type="pct"/>
            <w:vAlign w:val="center"/>
          </w:tcPr>
          <w:p>
            <w:pPr>
              <w:jc w:val="left"/>
              <w:ind w:firstLine="0"/>
            </w:pPr>
          </w:p>
        </w:tc>
        <w:tc>
          <w:tcPr>
            <w:tcW w:w="865" w:type="pct"/>
            <w:vAlign w:val="center"/>
          </w:tcPr>
          <w:p>
            <w:pPr>
              <w:jc w:val="left"/>
              <w:ind w:firstLine="0"/>
            </w:pPr>
          </w:p>
        </w:tc>
        <w:tc>
          <w:tcPr>
            <w:tcW w:w="577" w:type="pct"/>
            <w:vAlign w:val="center"/>
          </w:tcPr>
          <w:p>
            <w:pPr>
              <w:jc w:val="left"/>
              <w:ind w:firstLine="0"/>
            </w:pPr>
          </w:p>
        </w:tc>
      </w:tr>
      <w:tr>
        <w:tc>
          <w:tcPr>
            <w:tcW w:w="288" w:type="pct"/>
            <w:vAlign w:val="center"/>
          </w:tcPr>
          <w:p>
            <w:pPr>
              <w:jc w:val="center"/>
              <w:ind w:firstLine="0"/>
            </w:pPr>
            <w:r>
              <w:t xml:space="preserve">5</w:t>
            </w:r>
          </w:p>
        </w:tc>
        <w:tc>
          <w:tcPr>
            <w:tcW w:w="1923" w:type="pct"/>
            <w:vAlign w:val="center"/>
          </w:tcPr>
          <w:p>
            <w:pPr>
              <w:jc w:val="left"/>
              <w:ind w:firstLine="0"/>
            </w:pPr>
          </w:p>
        </w:tc>
        <w:tc>
          <w:tcPr>
            <w:tcW w:w="385" w:type="pct"/>
            <w:vAlign w:val="center"/>
          </w:tcPr>
          <w:p>
            <w:pPr>
              <w:jc w:val="left"/>
              <w:ind w:firstLine="0"/>
            </w:pPr>
          </w:p>
        </w:tc>
        <w:tc>
          <w:tcPr>
            <w:tcW w:w="962" w:type="pct"/>
            <w:vAlign w:val="center"/>
          </w:tcPr>
          <w:p>
            <w:pPr>
              <w:jc w:val="left"/>
              <w:ind w:firstLine="0"/>
            </w:pPr>
          </w:p>
        </w:tc>
        <w:tc>
          <w:tcPr>
            <w:tcW w:w="865" w:type="pct"/>
            <w:vAlign w:val="center"/>
          </w:tcPr>
          <w:p>
            <w:pPr>
              <w:jc w:val="left"/>
              <w:ind w:firstLine="0"/>
            </w:pPr>
          </w:p>
        </w:tc>
        <w:tc>
          <w:tcPr>
            <w:tcW w:w="577" w:type="pct"/>
            <w:vAlign w:val="center"/>
          </w:tcPr>
          <w:p>
            <w:pPr>
              <w:jc w:val="left"/>
              <w:ind w:firstLine="0"/>
            </w:pPr>
          </w:p>
        </w:tc>
      </w:tr>
      <w:tr>
        <w:tc>
          <w:tcPr>
            <w:tcW w:w="288" w:type="pct"/>
            <w:vAlign w:val="center"/>
          </w:tcPr>
          <w:p>
            <w:pPr>
              <w:jc w:val="center"/>
              <w:ind w:firstLine="0"/>
            </w:pPr>
            <w:r>
              <w:t xml:space="preserve">6</w:t>
            </w:r>
          </w:p>
        </w:tc>
        <w:tc>
          <w:tcPr>
            <w:tcW w:w="1923" w:type="pct"/>
            <w:vAlign w:val="center"/>
          </w:tcPr>
          <w:p>
            <w:pPr>
              <w:jc w:val="left"/>
              <w:ind w:firstLine="0"/>
            </w:pPr>
          </w:p>
        </w:tc>
        <w:tc>
          <w:tcPr>
            <w:tcW w:w="385" w:type="pct"/>
            <w:vAlign w:val="center"/>
          </w:tcPr>
          <w:p>
            <w:pPr>
              <w:jc w:val="left"/>
              <w:ind w:firstLine="0"/>
            </w:pPr>
          </w:p>
        </w:tc>
        <w:tc>
          <w:tcPr>
            <w:tcW w:w="962" w:type="pct"/>
            <w:vAlign w:val="center"/>
          </w:tcPr>
          <w:p>
            <w:pPr>
              <w:jc w:val="left"/>
              <w:ind w:firstLine="0"/>
            </w:pPr>
          </w:p>
        </w:tc>
        <w:tc>
          <w:tcPr>
            <w:tcW w:w="865" w:type="pct"/>
            <w:vAlign w:val="center"/>
          </w:tcPr>
          <w:p>
            <w:pPr>
              <w:jc w:val="left"/>
              <w:ind w:firstLine="0"/>
            </w:pPr>
          </w:p>
        </w:tc>
        <w:tc>
          <w:tcPr>
            <w:tcW w:w="577" w:type="pct"/>
            <w:vAlign w:val="center"/>
          </w:tcPr>
          <w:p>
            <w:pPr>
              <w:jc w:val="left"/>
              <w:ind w:firstLine="0"/>
            </w:pPr>
          </w:p>
        </w:tc>
      </w:tr>
      <w:tr>
        <w:tc>
          <w:tcPr>
            <w:tcW w:w="288" w:type="pct"/>
            <w:vAlign w:val="center"/>
          </w:tcPr>
          <w:p>
            <w:pPr>
              <w:jc w:val="center"/>
              <w:ind w:firstLine="0"/>
            </w:pPr>
            <w:r>
              <w:t xml:space="preserve">7</w:t>
            </w:r>
          </w:p>
        </w:tc>
        <w:tc>
          <w:tcPr>
            <w:tcW w:w="1923" w:type="pct"/>
            <w:vAlign w:val="center"/>
          </w:tcPr>
          <w:p>
            <w:pPr>
              <w:jc w:val="left"/>
              <w:ind w:firstLine="0"/>
            </w:pPr>
          </w:p>
        </w:tc>
        <w:tc>
          <w:tcPr>
            <w:tcW w:w="385" w:type="pct"/>
            <w:vAlign w:val="center"/>
          </w:tcPr>
          <w:p>
            <w:pPr>
              <w:jc w:val="left"/>
              <w:ind w:firstLine="0"/>
            </w:pPr>
          </w:p>
        </w:tc>
        <w:tc>
          <w:tcPr>
            <w:tcW w:w="962" w:type="pct"/>
            <w:vAlign w:val="center"/>
          </w:tcPr>
          <w:p>
            <w:pPr>
              <w:jc w:val="left"/>
              <w:ind w:firstLine="0"/>
            </w:pPr>
          </w:p>
        </w:tc>
        <w:tc>
          <w:tcPr>
            <w:tcW w:w="865" w:type="pct"/>
            <w:vAlign w:val="center"/>
          </w:tcPr>
          <w:p>
            <w:pPr>
              <w:jc w:val="left"/>
              <w:ind w:firstLine="0"/>
            </w:pPr>
          </w:p>
        </w:tc>
        <w:tc>
          <w:tcPr>
            <w:tcW w:w="577" w:type="pct"/>
            <w:vAlign w:val="center"/>
          </w:tcPr>
          <w:p>
            <w:pPr>
              <w:jc w:val="left"/>
              <w:ind w:firstLine="0"/>
            </w:pPr>
          </w:p>
        </w:tc>
      </w:tr>
      <w:tr>
        <w:tc>
          <w:tcPr>
            <w:tcW w:w="288" w:type="pct"/>
            <w:vAlign w:val="center"/>
          </w:tcPr>
          <w:p>
            <w:pPr>
              <w:jc w:val="center"/>
              <w:ind w:firstLine="0"/>
            </w:pPr>
            <w:r>
              <w:t xml:space="preserve">8</w:t>
            </w:r>
          </w:p>
        </w:tc>
        <w:tc>
          <w:tcPr>
            <w:tcW w:w="1923" w:type="pct"/>
            <w:vAlign w:val="center"/>
          </w:tcPr>
          <w:p>
            <w:pPr>
              <w:jc w:val="left"/>
              <w:ind w:firstLine="0"/>
            </w:pPr>
          </w:p>
        </w:tc>
        <w:tc>
          <w:tcPr>
            <w:tcW w:w="385" w:type="pct"/>
            <w:vAlign w:val="center"/>
          </w:tcPr>
          <w:p>
            <w:pPr>
              <w:jc w:val="left"/>
              <w:ind w:firstLine="0"/>
            </w:pPr>
          </w:p>
        </w:tc>
        <w:tc>
          <w:tcPr>
            <w:tcW w:w="962" w:type="pct"/>
            <w:vAlign w:val="center"/>
          </w:tcPr>
          <w:p>
            <w:pPr>
              <w:jc w:val="left"/>
              <w:ind w:firstLine="0"/>
            </w:pPr>
          </w:p>
        </w:tc>
        <w:tc>
          <w:tcPr>
            <w:tcW w:w="865" w:type="pct"/>
            <w:vAlign w:val="center"/>
          </w:tcPr>
          <w:p>
            <w:pPr>
              <w:jc w:val="left"/>
              <w:ind w:firstLine="0"/>
            </w:pPr>
          </w:p>
        </w:tc>
        <w:tc>
          <w:tcPr>
            <w:tcW w:w="577" w:type="pct"/>
            <w:vAlign w:val="center"/>
          </w:tcPr>
          <w:p>
            <w:pPr>
              <w:jc w:val="left"/>
              <w:ind w:firstLine="0"/>
            </w:pPr>
          </w:p>
        </w:tc>
      </w:tr>
    </w:tbl>
    <w:p/>
    <w:p>
      <w:pPr>
        <w:ind w:firstLine="425"/>
      </w:pPr>
      <w:r>
        <w:t xml:space="preserve">Цены указаны с учётом условия об НДС: включая НДС 22%. Тара и упаковка входят в цену товара, если стороны не согласовали иное.</w:t>
      </w:r>
    </w:p>
    <w:p>
      <w:pPr>
        <w:ind w:firstLine="425"/>
      </w:pPr>
      <w:r>
        <w:t xml:space="preserve">Срок поставки партии: 10 рабочих дней. Способ поставки: доставка транспортом Поставщика. Переход права собственности и риска: на складе Покупателя при вручении.</w:t>
      </w:r>
    </w:p>
    <w:p>
      <w:pPr>
        <w:ind w:firstLine="425"/>
      </w:pPr>
      <w:r>
        <w:t xml:space="preserve">Порядок оплаты партии: 100% предоплата по счёту.</w:t>
      </w:r>
    </w:p>
    <w:p>
      <w:pPr>
        <w:ind w:firstLine="425"/>
      </w:pPr>
      <w:r>
        <w:t xml:space="preserve">Спецификация составлена в двух экземплярах, по одному для каждой стороны, и является неотъемлемой частью договора.</w:t>
      </w:r>
    </w:p>
    <w:p>
      <w:pPr>
        <w:ind w:firstLine="425"/>
      </w:pPr>
      <w:r>
        <w:t xml:space="preserve">Поставщик: Иванов Иван Иванович</w:t>
      </w:r>
    </w:p>
    <w:p>
      <w:pPr>
        <w:ind w:firstLine="425"/>
      </w:pPr>
      <w:r>
        <w:t xml:space="preserve">_______________________ / подпись, печать при наличии /</w:t>
      </w:r>
    </w:p>
    <w:p>
      <w:pPr>
        <w:ind w:firstLine="425"/>
      </w:pPr>
      <w:r>
        <w:t xml:space="preserve">Покупатель: Петров Пётр Петрович</w:t>
      </w:r>
    </w:p>
    <w:p>
      <w:pPr>
        <w:ind w:firstLine="425"/>
      </w:pPr>
      <w:r>
        <w:t xml:space="preserve">_______________________ / подпись, печать при наличии /</w:t>
      </w:r>
    </w:p>
    <w:p>
      <w:pPr>
        <w:pageBreakBefore/>
      </w:pPr>
    </w:p>
    <w:p>
      <w:pPr>
        <w:jc w:val="right"/>
      </w:pPr>
      <w:r>
        <w:rPr>
          <w:b/>
        </w:rPr>
        <w:t xml:space="preserve">Приложение № 2 к документу</w:t>
      </w:r>
    </w:p>
    <w:p>
      <w:pPr>
        <w:pStyle w:val="DocTitle"/>
      </w:pPr>
      <w:r>
        <w:t xml:space="preserve">Акт о выявленных несоответствиях</w:t>
      </w:r>
    </w:p>
    <w:p>
      <w:pPr>
        <w:ind w:firstLine="425"/>
      </w:pPr>
      <w:r>
        <w:t xml:space="preserve">АКТ о выявленных несоответствиях товара № ______ от «____» ______________ 20____ г.</w:t>
      </w:r>
    </w:p>
    <w:p>
      <w:pPr>
        <w:ind w:firstLine="425"/>
      </w:pPr>
      <w:r>
        <w:t xml:space="preserve">Составлен по факту приёмки товара, поставленного по спецификации № ______ к договору поставки между Иванов Иван Иванович и Петров Пётр Петрович.</w:t>
      </w:r>
    </w:p>
    <w:p>
      <w:pPr>
        <w:ind w:firstLine="425"/>
      </w:pPr>
      <w:r>
        <w:t xml:space="preserve">Место составления: ______________________________. Дата и время начала приёмки: ______________.</w:t>
      </w:r>
    </w:p>
    <w:p>
      <w:pPr>
        <w:ind w:firstLine="425"/>
      </w:pPr>
      <w:r>
        <w:t xml:space="preserve">Поставщик уведомлён о вызове представителя: способ ______________, дата ______________. Представитель Поставщика: явился / не явился (нужное подчеркнуть).</w:t>
      </w:r>
    </w:p>
    <w:p>
      <w:pPr>
        <w:ind w:firstLine="425"/>
      </w:pPr>
      <w:r>
        <w:t xml:space="preserve">Транспорт и состояние груза при приёмке: пломбы, тара, упаковка ______________________________.</w:t>
      </w:r>
    </w:p>
    <w:p>
      <w:pPr>
        <w:ind w:firstLine="425"/>
      </w:pPr>
      <w:r>
        <w:t xml:space="preserve">Выявленные несоответствия:</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526"/>
        <w:gridCol w:w="2454"/>
        <w:gridCol w:w="701"/>
        <w:gridCol w:w="1753"/>
        <w:gridCol w:w="1753"/>
        <w:gridCol w:w="2453"/>
      </w:tblGrid>
      <w:tr>
        <w:tc>
          <w:tcPr>
            <w:tcW w:w="273" w:type="pct"/>
            <w:vAlign w:val="center"/>
          </w:tcPr>
          <w:p>
            <w:pPr>
              <w:jc w:val="center"/>
              <w:ind w:firstLine="0"/>
            </w:pPr>
            <w:r>
              <w:rPr>
                <w:b/>
              </w:rPr>
              <w:t xml:space="preserve">№</w:t>
            </w:r>
          </w:p>
        </w:tc>
        <w:tc>
          <w:tcPr>
            <w:tcW w:w="1273" w:type="pct"/>
            <w:vAlign w:val="center"/>
          </w:tcPr>
          <w:p>
            <w:pPr>
              <w:jc w:val="center"/>
              <w:ind w:firstLine="0"/>
            </w:pPr>
            <w:r>
              <w:rPr>
                <w:b/>
              </w:rPr>
              <w:t xml:space="preserve">Наименование товара</w:t>
            </w:r>
          </w:p>
        </w:tc>
        <w:tc>
          <w:tcPr>
            <w:tcW w:w="364" w:type="pct"/>
            <w:vAlign w:val="center"/>
          </w:tcPr>
          <w:p>
            <w:pPr>
              <w:jc w:val="center"/>
              <w:ind w:firstLine="0"/>
            </w:pPr>
            <w:r>
              <w:rPr>
                <w:b/>
              </w:rPr>
              <w:t xml:space="preserve">Ед.</w:t>
            </w:r>
          </w:p>
        </w:tc>
        <w:tc>
          <w:tcPr>
            <w:tcW w:w="909" w:type="pct"/>
            <w:vAlign w:val="center"/>
          </w:tcPr>
          <w:p>
            <w:pPr>
              <w:jc w:val="center"/>
              <w:ind w:firstLine="0"/>
            </w:pPr>
            <w:r>
              <w:rPr>
                <w:b/>
              </w:rPr>
              <w:t xml:space="preserve">По документам</w:t>
            </w:r>
          </w:p>
        </w:tc>
        <w:tc>
          <w:tcPr>
            <w:tcW w:w="909" w:type="pct"/>
            <w:vAlign w:val="center"/>
          </w:tcPr>
          <w:p>
            <w:pPr>
              <w:jc w:val="center"/>
              <w:ind w:firstLine="0"/>
            </w:pPr>
            <w:r>
              <w:rPr>
                <w:b/>
              </w:rPr>
              <w:t xml:space="preserve">Фактически</w:t>
            </w:r>
          </w:p>
        </w:tc>
        <w:tc>
          <w:tcPr>
            <w:tcW w:w="1273" w:type="pct"/>
            <w:vAlign w:val="center"/>
          </w:tcPr>
          <w:p>
            <w:pPr>
              <w:jc w:val="center"/>
              <w:ind w:firstLine="0"/>
            </w:pPr>
            <w:r>
              <w:rPr>
                <w:b/>
              </w:rPr>
              <w:t xml:space="preserve">Характер несоответствия</w:t>
            </w:r>
          </w:p>
        </w:tc>
      </w:tr>
      <w:tr>
        <w:trPr>
          <w:trHeight w:val="397" w:hRule="atLeast"/>
        </w:trPr>
        <w:tc>
          <w:tcPr>
            <w:tcW w:w="273" w:type="pct"/>
            <w:vAlign w:val="center"/>
          </w:tcPr>
          <w:p>
            <w:pPr>
              <w:jc w:val="center"/>
              <w:ind w:firstLine="0"/>
            </w:pPr>
          </w:p>
        </w:tc>
        <w:tc>
          <w:tcPr>
            <w:tcW w:w="1273" w:type="pct"/>
            <w:vAlign w:val="center"/>
          </w:tcPr>
          <w:p>
            <w:pPr>
              <w:jc w:val="left"/>
              <w:ind w:firstLine="0"/>
            </w:pPr>
          </w:p>
        </w:tc>
        <w:tc>
          <w:tcPr>
            <w:tcW w:w="364" w:type="pct"/>
            <w:vAlign w:val="center"/>
          </w:tcPr>
          <w:p>
            <w:pPr>
              <w:jc w:val="left"/>
              <w:ind w:firstLine="0"/>
            </w:pPr>
          </w:p>
        </w:tc>
        <w:tc>
          <w:tcPr>
            <w:tcW w:w="909" w:type="pct"/>
            <w:vAlign w:val="center"/>
          </w:tcPr>
          <w:p>
            <w:pPr>
              <w:jc w:val="left"/>
              <w:ind w:firstLine="0"/>
            </w:pPr>
          </w:p>
        </w:tc>
        <w:tc>
          <w:tcPr>
            <w:tcW w:w="909" w:type="pct"/>
            <w:vAlign w:val="center"/>
          </w:tcPr>
          <w:p>
            <w:pPr>
              <w:jc w:val="left"/>
              <w:ind w:firstLine="0"/>
            </w:pPr>
          </w:p>
        </w:tc>
        <w:tc>
          <w:tcPr>
            <w:tcW w:w="1273" w:type="pct"/>
            <w:vAlign w:val="center"/>
          </w:tcPr>
          <w:p>
            <w:pPr>
              <w:jc w:val="left"/>
              <w:ind w:firstLine="0"/>
            </w:pPr>
          </w:p>
        </w:tc>
      </w:tr>
      <w:tr>
        <w:trPr>
          <w:trHeight w:val="397" w:hRule="atLeast"/>
        </w:trPr>
        <w:tc>
          <w:tcPr>
            <w:tcW w:w="273" w:type="pct"/>
            <w:vAlign w:val="center"/>
          </w:tcPr>
          <w:p>
            <w:pPr>
              <w:jc w:val="center"/>
              <w:ind w:firstLine="0"/>
            </w:pPr>
          </w:p>
        </w:tc>
        <w:tc>
          <w:tcPr>
            <w:tcW w:w="1273" w:type="pct"/>
            <w:vAlign w:val="center"/>
          </w:tcPr>
          <w:p>
            <w:pPr>
              <w:jc w:val="left"/>
              <w:ind w:firstLine="0"/>
            </w:pPr>
          </w:p>
        </w:tc>
        <w:tc>
          <w:tcPr>
            <w:tcW w:w="364" w:type="pct"/>
            <w:vAlign w:val="center"/>
          </w:tcPr>
          <w:p>
            <w:pPr>
              <w:jc w:val="left"/>
              <w:ind w:firstLine="0"/>
            </w:pPr>
          </w:p>
        </w:tc>
        <w:tc>
          <w:tcPr>
            <w:tcW w:w="909" w:type="pct"/>
            <w:vAlign w:val="center"/>
          </w:tcPr>
          <w:p>
            <w:pPr>
              <w:jc w:val="left"/>
              <w:ind w:firstLine="0"/>
            </w:pPr>
          </w:p>
        </w:tc>
        <w:tc>
          <w:tcPr>
            <w:tcW w:w="909" w:type="pct"/>
            <w:vAlign w:val="center"/>
          </w:tcPr>
          <w:p>
            <w:pPr>
              <w:jc w:val="left"/>
              <w:ind w:firstLine="0"/>
            </w:pPr>
          </w:p>
        </w:tc>
        <w:tc>
          <w:tcPr>
            <w:tcW w:w="1273" w:type="pct"/>
            <w:vAlign w:val="center"/>
          </w:tcPr>
          <w:p>
            <w:pPr>
              <w:jc w:val="left"/>
              <w:ind w:firstLine="0"/>
            </w:pPr>
          </w:p>
        </w:tc>
      </w:tr>
      <w:tr>
        <w:trPr>
          <w:trHeight w:val="397" w:hRule="atLeast"/>
        </w:trPr>
        <w:tc>
          <w:tcPr>
            <w:tcW w:w="273" w:type="pct"/>
            <w:vAlign w:val="center"/>
          </w:tcPr>
          <w:p>
            <w:pPr>
              <w:jc w:val="center"/>
              <w:ind w:firstLine="0"/>
            </w:pPr>
          </w:p>
        </w:tc>
        <w:tc>
          <w:tcPr>
            <w:tcW w:w="1273" w:type="pct"/>
            <w:vAlign w:val="center"/>
          </w:tcPr>
          <w:p>
            <w:pPr>
              <w:jc w:val="left"/>
              <w:ind w:firstLine="0"/>
            </w:pPr>
          </w:p>
        </w:tc>
        <w:tc>
          <w:tcPr>
            <w:tcW w:w="364" w:type="pct"/>
            <w:vAlign w:val="center"/>
          </w:tcPr>
          <w:p>
            <w:pPr>
              <w:jc w:val="left"/>
              <w:ind w:firstLine="0"/>
            </w:pPr>
          </w:p>
        </w:tc>
        <w:tc>
          <w:tcPr>
            <w:tcW w:w="909" w:type="pct"/>
            <w:vAlign w:val="center"/>
          </w:tcPr>
          <w:p>
            <w:pPr>
              <w:jc w:val="left"/>
              <w:ind w:firstLine="0"/>
            </w:pPr>
          </w:p>
        </w:tc>
        <w:tc>
          <w:tcPr>
            <w:tcW w:w="909" w:type="pct"/>
            <w:vAlign w:val="center"/>
          </w:tcPr>
          <w:p>
            <w:pPr>
              <w:jc w:val="left"/>
              <w:ind w:firstLine="0"/>
            </w:pPr>
          </w:p>
        </w:tc>
        <w:tc>
          <w:tcPr>
            <w:tcW w:w="1273" w:type="pct"/>
            <w:vAlign w:val="center"/>
          </w:tcPr>
          <w:p>
            <w:pPr>
              <w:jc w:val="left"/>
              <w:ind w:firstLine="0"/>
            </w:pPr>
          </w:p>
        </w:tc>
      </w:tr>
      <w:tr>
        <w:trPr>
          <w:trHeight w:val="397" w:hRule="atLeast"/>
        </w:trPr>
        <w:tc>
          <w:tcPr>
            <w:tcW w:w="273" w:type="pct"/>
            <w:vAlign w:val="center"/>
          </w:tcPr>
          <w:p>
            <w:pPr>
              <w:jc w:val="center"/>
              <w:ind w:firstLine="0"/>
            </w:pPr>
          </w:p>
        </w:tc>
        <w:tc>
          <w:tcPr>
            <w:tcW w:w="1273" w:type="pct"/>
            <w:vAlign w:val="center"/>
          </w:tcPr>
          <w:p>
            <w:pPr>
              <w:jc w:val="left"/>
              <w:ind w:firstLine="0"/>
            </w:pPr>
          </w:p>
        </w:tc>
        <w:tc>
          <w:tcPr>
            <w:tcW w:w="364" w:type="pct"/>
            <w:vAlign w:val="center"/>
          </w:tcPr>
          <w:p>
            <w:pPr>
              <w:jc w:val="left"/>
              <w:ind w:firstLine="0"/>
            </w:pPr>
          </w:p>
        </w:tc>
        <w:tc>
          <w:tcPr>
            <w:tcW w:w="909" w:type="pct"/>
            <w:vAlign w:val="center"/>
          </w:tcPr>
          <w:p>
            <w:pPr>
              <w:jc w:val="left"/>
              <w:ind w:firstLine="0"/>
            </w:pPr>
          </w:p>
        </w:tc>
        <w:tc>
          <w:tcPr>
            <w:tcW w:w="909" w:type="pct"/>
            <w:vAlign w:val="center"/>
          </w:tcPr>
          <w:p>
            <w:pPr>
              <w:jc w:val="left"/>
              <w:ind w:firstLine="0"/>
            </w:pPr>
          </w:p>
        </w:tc>
        <w:tc>
          <w:tcPr>
            <w:tcW w:w="1273" w:type="pct"/>
            <w:vAlign w:val="center"/>
          </w:tcPr>
          <w:p>
            <w:pPr>
              <w:jc w:val="left"/>
              <w:ind w:firstLine="0"/>
            </w:pPr>
          </w:p>
        </w:tc>
      </w:tr>
      <w:tr>
        <w:trPr>
          <w:trHeight w:val="397" w:hRule="atLeast"/>
        </w:trPr>
        <w:tc>
          <w:tcPr>
            <w:tcW w:w="273" w:type="pct"/>
            <w:vAlign w:val="center"/>
          </w:tcPr>
          <w:p>
            <w:pPr>
              <w:jc w:val="center"/>
              <w:ind w:firstLine="0"/>
            </w:pPr>
          </w:p>
        </w:tc>
        <w:tc>
          <w:tcPr>
            <w:tcW w:w="1273" w:type="pct"/>
            <w:vAlign w:val="center"/>
          </w:tcPr>
          <w:p>
            <w:pPr>
              <w:jc w:val="left"/>
              <w:ind w:firstLine="0"/>
            </w:pPr>
          </w:p>
        </w:tc>
        <w:tc>
          <w:tcPr>
            <w:tcW w:w="364" w:type="pct"/>
            <w:vAlign w:val="center"/>
          </w:tcPr>
          <w:p>
            <w:pPr>
              <w:jc w:val="left"/>
              <w:ind w:firstLine="0"/>
            </w:pPr>
          </w:p>
        </w:tc>
        <w:tc>
          <w:tcPr>
            <w:tcW w:w="909" w:type="pct"/>
            <w:vAlign w:val="center"/>
          </w:tcPr>
          <w:p>
            <w:pPr>
              <w:jc w:val="left"/>
              <w:ind w:firstLine="0"/>
            </w:pPr>
          </w:p>
        </w:tc>
        <w:tc>
          <w:tcPr>
            <w:tcW w:w="909" w:type="pct"/>
            <w:vAlign w:val="center"/>
          </w:tcPr>
          <w:p>
            <w:pPr>
              <w:jc w:val="left"/>
              <w:ind w:firstLine="0"/>
            </w:pPr>
          </w:p>
        </w:tc>
        <w:tc>
          <w:tcPr>
            <w:tcW w:w="1273" w:type="pct"/>
            <w:vAlign w:val="center"/>
          </w:tcPr>
          <w:p>
            <w:pPr>
              <w:jc w:val="left"/>
              <w:ind w:firstLine="0"/>
            </w:pPr>
          </w:p>
        </w:tc>
      </w:tr>
      <w:tr>
        <w:trPr>
          <w:trHeight w:val="397" w:hRule="atLeast"/>
        </w:trPr>
        <w:tc>
          <w:tcPr>
            <w:tcW w:w="273" w:type="pct"/>
            <w:vAlign w:val="center"/>
          </w:tcPr>
          <w:p>
            <w:pPr>
              <w:jc w:val="center"/>
              <w:ind w:firstLine="0"/>
            </w:pPr>
          </w:p>
        </w:tc>
        <w:tc>
          <w:tcPr>
            <w:tcW w:w="1273" w:type="pct"/>
            <w:vAlign w:val="center"/>
          </w:tcPr>
          <w:p>
            <w:pPr>
              <w:jc w:val="left"/>
              <w:ind w:firstLine="0"/>
            </w:pPr>
          </w:p>
        </w:tc>
        <w:tc>
          <w:tcPr>
            <w:tcW w:w="364" w:type="pct"/>
            <w:vAlign w:val="center"/>
          </w:tcPr>
          <w:p>
            <w:pPr>
              <w:jc w:val="left"/>
              <w:ind w:firstLine="0"/>
            </w:pPr>
          </w:p>
        </w:tc>
        <w:tc>
          <w:tcPr>
            <w:tcW w:w="909" w:type="pct"/>
            <w:vAlign w:val="center"/>
          </w:tcPr>
          <w:p>
            <w:pPr>
              <w:jc w:val="left"/>
              <w:ind w:firstLine="0"/>
            </w:pPr>
          </w:p>
        </w:tc>
        <w:tc>
          <w:tcPr>
            <w:tcW w:w="909" w:type="pct"/>
            <w:vAlign w:val="center"/>
          </w:tcPr>
          <w:p>
            <w:pPr>
              <w:jc w:val="left"/>
              <w:ind w:firstLine="0"/>
            </w:pPr>
          </w:p>
        </w:tc>
        <w:tc>
          <w:tcPr>
            <w:tcW w:w="1273" w:type="pct"/>
            <w:vAlign w:val="center"/>
          </w:tcPr>
          <w:p>
            <w:pPr>
              <w:jc w:val="left"/>
              <w:ind w:firstLine="0"/>
            </w:pPr>
          </w:p>
        </w:tc>
      </w:tr>
      <w:tr>
        <w:trPr>
          <w:trHeight w:val="397" w:hRule="atLeast"/>
        </w:trPr>
        <w:tc>
          <w:tcPr>
            <w:tcW w:w="273" w:type="pct"/>
            <w:vAlign w:val="center"/>
          </w:tcPr>
          <w:p>
            <w:pPr>
              <w:jc w:val="center"/>
              <w:ind w:firstLine="0"/>
            </w:pPr>
          </w:p>
        </w:tc>
        <w:tc>
          <w:tcPr>
            <w:tcW w:w="1273" w:type="pct"/>
            <w:vAlign w:val="center"/>
          </w:tcPr>
          <w:p>
            <w:pPr>
              <w:jc w:val="left"/>
              <w:ind w:firstLine="0"/>
            </w:pPr>
          </w:p>
        </w:tc>
        <w:tc>
          <w:tcPr>
            <w:tcW w:w="364" w:type="pct"/>
            <w:vAlign w:val="center"/>
          </w:tcPr>
          <w:p>
            <w:pPr>
              <w:jc w:val="left"/>
              <w:ind w:firstLine="0"/>
            </w:pPr>
          </w:p>
        </w:tc>
        <w:tc>
          <w:tcPr>
            <w:tcW w:w="909" w:type="pct"/>
            <w:vAlign w:val="center"/>
          </w:tcPr>
          <w:p>
            <w:pPr>
              <w:jc w:val="left"/>
              <w:ind w:firstLine="0"/>
            </w:pPr>
          </w:p>
        </w:tc>
        <w:tc>
          <w:tcPr>
            <w:tcW w:w="909" w:type="pct"/>
            <w:vAlign w:val="center"/>
          </w:tcPr>
          <w:p>
            <w:pPr>
              <w:jc w:val="left"/>
              <w:ind w:firstLine="0"/>
            </w:pPr>
          </w:p>
        </w:tc>
        <w:tc>
          <w:tcPr>
            <w:tcW w:w="1273" w:type="pct"/>
            <w:vAlign w:val="center"/>
          </w:tcPr>
          <w:p>
            <w:pPr>
              <w:jc w:val="left"/>
              <w:ind w:firstLine="0"/>
            </w:pPr>
          </w:p>
        </w:tc>
      </w:tr>
      <w:tr>
        <w:trPr>
          <w:trHeight w:val="397" w:hRule="atLeast"/>
        </w:trPr>
        <w:tc>
          <w:tcPr>
            <w:tcW w:w="273" w:type="pct"/>
            <w:vAlign w:val="center"/>
          </w:tcPr>
          <w:p>
            <w:pPr>
              <w:jc w:val="center"/>
              <w:ind w:firstLine="0"/>
            </w:pPr>
          </w:p>
        </w:tc>
        <w:tc>
          <w:tcPr>
            <w:tcW w:w="1273" w:type="pct"/>
            <w:vAlign w:val="center"/>
          </w:tcPr>
          <w:p>
            <w:pPr>
              <w:jc w:val="left"/>
              <w:ind w:firstLine="0"/>
            </w:pPr>
          </w:p>
        </w:tc>
        <w:tc>
          <w:tcPr>
            <w:tcW w:w="364" w:type="pct"/>
            <w:vAlign w:val="center"/>
          </w:tcPr>
          <w:p>
            <w:pPr>
              <w:jc w:val="left"/>
              <w:ind w:firstLine="0"/>
            </w:pPr>
          </w:p>
        </w:tc>
        <w:tc>
          <w:tcPr>
            <w:tcW w:w="909" w:type="pct"/>
            <w:vAlign w:val="center"/>
          </w:tcPr>
          <w:p>
            <w:pPr>
              <w:jc w:val="left"/>
              <w:ind w:firstLine="0"/>
            </w:pPr>
          </w:p>
        </w:tc>
        <w:tc>
          <w:tcPr>
            <w:tcW w:w="909" w:type="pct"/>
            <w:vAlign w:val="center"/>
          </w:tcPr>
          <w:p>
            <w:pPr>
              <w:jc w:val="left"/>
              <w:ind w:firstLine="0"/>
            </w:pPr>
          </w:p>
        </w:tc>
        <w:tc>
          <w:tcPr>
            <w:tcW w:w="1273" w:type="pct"/>
            <w:vAlign w:val="center"/>
          </w:tcPr>
          <w:p>
            <w:pPr>
              <w:jc w:val="left"/>
              <w:ind w:firstLine="0"/>
            </w:pPr>
          </w:p>
        </w:tc>
      </w:tr>
      <w:tr>
        <w:trPr>
          <w:trHeight w:val="397" w:hRule="atLeast"/>
        </w:trPr>
        <w:tc>
          <w:tcPr>
            <w:tcW w:w="273" w:type="pct"/>
            <w:vAlign w:val="center"/>
          </w:tcPr>
          <w:p>
            <w:pPr>
              <w:jc w:val="center"/>
              <w:ind w:firstLine="0"/>
            </w:pPr>
          </w:p>
        </w:tc>
        <w:tc>
          <w:tcPr>
            <w:tcW w:w="1273" w:type="pct"/>
            <w:vAlign w:val="center"/>
          </w:tcPr>
          <w:p>
            <w:pPr>
              <w:jc w:val="left"/>
              <w:ind w:firstLine="0"/>
            </w:pPr>
          </w:p>
        </w:tc>
        <w:tc>
          <w:tcPr>
            <w:tcW w:w="364" w:type="pct"/>
            <w:vAlign w:val="center"/>
          </w:tcPr>
          <w:p>
            <w:pPr>
              <w:jc w:val="left"/>
              <w:ind w:firstLine="0"/>
            </w:pPr>
          </w:p>
        </w:tc>
        <w:tc>
          <w:tcPr>
            <w:tcW w:w="909" w:type="pct"/>
            <w:vAlign w:val="center"/>
          </w:tcPr>
          <w:p>
            <w:pPr>
              <w:jc w:val="left"/>
              <w:ind w:firstLine="0"/>
            </w:pPr>
          </w:p>
        </w:tc>
        <w:tc>
          <w:tcPr>
            <w:tcW w:w="909" w:type="pct"/>
            <w:vAlign w:val="center"/>
          </w:tcPr>
          <w:p>
            <w:pPr>
              <w:jc w:val="left"/>
              <w:ind w:firstLine="0"/>
            </w:pPr>
          </w:p>
        </w:tc>
        <w:tc>
          <w:tcPr>
            <w:tcW w:w="1273" w:type="pct"/>
            <w:vAlign w:val="center"/>
          </w:tcPr>
          <w:p>
            <w:pPr>
              <w:jc w:val="left"/>
              <w:ind w:firstLine="0"/>
            </w:pPr>
          </w:p>
        </w:tc>
      </w:tr>
      <w:tr>
        <w:trPr>
          <w:trHeight w:val="397" w:hRule="atLeast"/>
        </w:trPr>
        <w:tc>
          <w:tcPr>
            <w:tcW w:w="273" w:type="pct"/>
            <w:vAlign w:val="center"/>
          </w:tcPr>
          <w:p>
            <w:pPr>
              <w:jc w:val="center"/>
              <w:ind w:firstLine="0"/>
            </w:pPr>
          </w:p>
        </w:tc>
        <w:tc>
          <w:tcPr>
            <w:tcW w:w="1273" w:type="pct"/>
            <w:vAlign w:val="center"/>
          </w:tcPr>
          <w:p>
            <w:pPr>
              <w:jc w:val="left"/>
              <w:ind w:firstLine="0"/>
            </w:pPr>
          </w:p>
        </w:tc>
        <w:tc>
          <w:tcPr>
            <w:tcW w:w="364" w:type="pct"/>
            <w:vAlign w:val="center"/>
          </w:tcPr>
          <w:p>
            <w:pPr>
              <w:jc w:val="left"/>
              <w:ind w:firstLine="0"/>
            </w:pPr>
          </w:p>
        </w:tc>
        <w:tc>
          <w:tcPr>
            <w:tcW w:w="909" w:type="pct"/>
            <w:vAlign w:val="center"/>
          </w:tcPr>
          <w:p>
            <w:pPr>
              <w:jc w:val="left"/>
              <w:ind w:firstLine="0"/>
            </w:pPr>
          </w:p>
        </w:tc>
        <w:tc>
          <w:tcPr>
            <w:tcW w:w="909" w:type="pct"/>
            <w:vAlign w:val="center"/>
          </w:tcPr>
          <w:p>
            <w:pPr>
              <w:jc w:val="left"/>
              <w:ind w:firstLine="0"/>
            </w:pPr>
          </w:p>
        </w:tc>
        <w:tc>
          <w:tcPr>
            <w:tcW w:w="1273" w:type="pct"/>
            <w:vAlign w:val="center"/>
          </w:tcPr>
          <w:p>
            <w:pPr>
              <w:jc w:val="left"/>
              <w:ind w:firstLine="0"/>
            </w:pPr>
          </w:p>
        </w:tc>
      </w:tr>
    </w:tbl>
    <w:p/>
    <w:p>
      <w:pPr>
        <w:ind w:firstLine="425"/>
      </w:pPr>
      <w:r>
        <w:t xml:space="preserve">Заключение комиссии: ______________________________________________________________</w:t>
      </w:r>
    </w:p>
    <w:p>
      <w:pPr>
        <w:ind w:firstLine="425"/>
      </w:pPr>
      <w:r>
        <w:t xml:space="preserve">Требование Покупателя: замена товара / устранение недостатков / соразмерное уменьшение цены / возврат уплаченной суммы (нужное подчеркнуть).</w:t>
      </w:r>
    </w:p>
    <w:p>
      <w:pPr>
        <w:ind w:firstLine="425"/>
      </w:pPr>
      <w:r>
        <w:t xml:space="preserve">Товар принят на ответственное хранение: да / нет. Место хранения: ______________________.</w:t>
      </w:r>
    </w:p>
    <w:p>
      <w:pPr>
        <w:ind w:firstLine="425"/>
      </w:pPr>
      <w:r>
        <w:t xml:space="preserve">Подписи лиц, участвовавших в приёмке:</w:t>
      </w:r>
    </w:p>
    <w:p>
      <w:pPr>
        <w:ind w:firstLine="425"/>
      </w:pPr>
      <w:r>
        <w:t xml:space="preserve">_______________________ / ______________________ /</w:t>
      </w:r>
    </w:p>
    <w:p>
      <w:pPr>
        <w:ind w:firstLine="425"/>
      </w:pPr>
      <w:r>
        <w:t xml:space="preserve">_______________________ / ______________________ /</w:t>
      </w:r>
    </w:p>
    <w:p>
      <w:pPr>
        <w:pStyle w:val="ClauseHeading"/>
      </w:pPr>
      <w:r>
        <w:rPr>
          <w:b/>
        </w:rPr>
        <w:t xml:space="preserve">14. Реквизиты и подписи сторон</w:t>
      </w:r>
    </w:p>
    <w:tbl>
      <w:tblPr>
        <w:tblW w:w="9639" w:type="dxa"/>
        <w:tblBorders>
          <w:top w:val="none" w:sz="0" w:space="0"/>
          <w:left w:val="none" w:sz="0" w:space="0"/>
          <w:bottom w:val="none" w:sz="0" w:space="0"/>
          <w:right w:val="none" w:sz="0" w:space="0"/>
          <w:insideH w:val="none" w:sz="0" w:space="0"/>
          <w:insideV w:val="none" w:sz="0" w:space="0"/>
        </w:tblBorders>
        <w:tblLayout w:type="fixed"/>
      </w:tblPr>
      <w:tblGrid>
        <w:gridCol w:w="4819"/>
        <w:gridCol w:w="4820"/>
      </w:tblGrid>
      <w:tr>
        <w:tc>
          <w:tcPr>
            <w:tcW w:w="4819" w:type="dxa"/>
          </w:tcPr>
          <w:p>
            <w:pPr>
              <w:jc w:val="left"/>
            </w:pPr>
            <w:r>
              <w:rPr>
                <w:b/>
              </w:rPr>
              <w:t xml:space="preserve">Поставщик</w:t>
            </w:r>
          </w:p>
          <w:p>
            <w:pPr>
              <w:jc w:val="left"/>
            </w:pPr>
            <w:r>
              <w:t xml:space="preserve">Иванов Иван Иванович</w:t>
              <w:br/>
              <w:t xml:space="preserve"/>
              <w:br/>
              <w:t xml:space="preserve">Дата рождения: 05.06.1985</w:t>
              <w:br/>
              <w:t xml:space="preserve"/>
              <w:br/>
              <w:t xml:space="preserve">Паспорт: 4510 123456, выдан ГУ МВД России по г. Москве 20.07.2015</w:t>
              <w:br/>
              <w:t xml:space="preserve"/>
              <w:br/>
              <w:t xml:space="preserve">Адрес места жительства: 127015, Москва, ул. Новодмитровская, д. 2, кв. 15</w:t>
            </w:r>
          </w:p>
          <w:p>
            <w:pPr>
              <w:jc w:val="left"/>
            </w:pPr>
            <w:r>
              <w:t xml:space="preserve">Поставщик ____________ / Иванов И. И.</w:t>
            </w:r>
          </w:p>
        </w:tc>
        <w:tc>
          <w:tcPr>
            <w:tcW w:w="4820" w:type="dxa"/>
          </w:tcPr>
          <w:p>
            <w:pPr>
              <w:jc w:val="left"/>
            </w:pPr>
            <w:r>
              <w:rPr>
                <w:b/>
              </w:rPr>
              <w:t xml:space="preserve">Покупатель</w:t>
            </w:r>
          </w:p>
          <w:p>
            <w:pPr>
              <w:jc w:val="left"/>
            </w:pPr>
            <w:r>
              <w:t xml:space="preserve">Петров Пётр Петрович</w:t>
              <w:br/>
              <w:t xml:space="preserve"/>
              <w:br/>
              <w:t xml:space="preserve">Дата рождения: 05.06.1985</w:t>
              <w:br/>
              <w:t xml:space="preserve"/>
              <w:br/>
              <w:t xml:space="preserve">Паспорт: 4510 123456, выдан ГУ МВД России по г. Москве 20.07.2015</w:t>
              <w:br/>
              <w:t xml:space="preserve"/>
              <w:br/>
              <w:t xml:space="preserve">Адрес места жительства: 127015, Москва, ул. Новодмитровская, д. 2, кв. 15</w:t>
            </w:r>
          </w:p>
          <w:p>
            <w:pPr>
              <w:jc w:val="left"/>
            </w:pPr>
            <w:r>
              <w:t xml:space="preserve">Покупатель ____________ / Петров П. П.</w:t>
            </w:r>
          </w:p>
        </w:tc>
      </w:tr>
    </w:tbl>
    <w:p/>
    <w:p>
      <w:pPr>
        <w:spacing w:before="360"/>
        <w:pBdr>
          <w:top w:val="single" w:sz="4" w:space="6" w:color="CCCCCC"/>
        </w:pBdr>
        <w:jc w:val="left"/>
      </w:pPr>
      <w:r>
        <w:rPr>
          <w:i/>
          <w:sz w:val="16"/>
          <w:color w:val="808080"/>
        </w:rPr>
        <w:t xml:space="preserve">Образец заполнения «Договор поставки» с сайта primadoc.ru. Документ, заполненный под вашу ситуацию, собирается в конструкторе: https://primadoc.ru/doc/dogovor-postavki</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Договор поставки — образец заполнения</dc:title>
  <dc:creator>Примадок</dc:creator>
  <dcterms:created xsi:type="dcterms:W3CDTF">2026-09-11T05:21:29Z</dcterms:created>
</cp:coreProperties>
</file>