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Генеральный директор ООО «Ромашка»</w:t>
      </w:r>
    </w:p>
    <w:p>
      <w:pPr>
        <w:ind w:left="4820"/>
        <w:jc w:val="left"/>
      </w:pPr>
      <w:r>
        <w:t xml:space="preserve">Ковалёв Андрей Петрович</w:t>
      </w:r>
    </w:p>
    <w:p>
      <w:pPr>
        <w:ind w:left="4820"/>
        <w:jc w:val="left"/>
      </w:pPr>
      <w:r>
        <w:t xml:space="preserve">от Руководитель отдела аналитики Крылов Денис Александрович</w:t>
      </w:r>
    </w:p>
    <w:p>
      <w:pPr>
        <w:ind w:left="4820"/>
        <w:jc w:val="left"/>
      </w:pPr>
      <w:r>
        <w:t xml:space="preserve">АНАЛИТИЧЕСКАЯ ЗАПИСКА № АЗ-2026/11 от ______</w:t>
      </w:r>
    </w:p>
    <w:p>
      <w:pPr>
        <w:ind w:left="4820"/>
        <w:jc w:val="left"/>
      </w:pPr>
      <w:r>
        <w:t xml:space="preserve">Для служебного пользования. Содержит сведения ограниченного доступа.</w:t>
      </w:r>
    </w:p>
    <w:p>
      <w:pPr>
        <w:pStyle w:val="DocTitle"/>
      </w:pPr>
      <w:r>
        <w:t xml:space="preserve">Аналитическая записка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Предмет и период анализа</w:t>
      </w:r>
    </w:p>
    <w:p>
      <w:pPr>
        <w:ind w:firstLine="425"/>
      </w:pPr>
      <w:r>
        <w:t xml:space="preserve">Предмет анализа: Причины снижения валовой рентабельности в розничном канале за третий квартал 2026 года.</w:t>
      </w:r>
    </w:p>
    <w:p>
      <w:pPr>
        <w:ind w:firstLine="425"/>
      </w:pPr>
      <w:r>
        <w:t xml:space="preserve">Анализируемый период: с 01.07.2026 по 30.09.2026. База сравнения: Третий квартал 2025 года и второй квартал 2026 года.</w:t>
      </w:r>
    </w:p>
    <w:p>
      <w:pPr>
        <w:ind w:firstLine="425"/>
      </w:pPr>
      <w:r>
        <w:t xml:space="preserve">Тема: Финансовые результаты и затраты.</w:t>
      </w:r>
    </w:p>
    <w:p>
      <w:pPr>
        <w:ind w:firstLine="425"/>
      </w:pPr>
      <w:r>
        <w:t xml:space="preserve">Записка отвечает на поставленный вопрос и предлагает варианты действий. Решение принимает адресат.</w:t>
      </w:r>
    </w:p>
    <w:p>
      <w:pPr>
        <w:pStyle w:val="ClauseHeading"/>
      </w:pPr>
      <w:r>
        <w:rPr>
          <w:b/>
        </w:rPr>
        <w:t xml:space="preserve">Источники данных и методика</w:t>
      </w:r>
    </w:p>
    <w:p>
      <w:pPr>
        <w:ind w:firstLine="425"/>
      </w:pPr>
      <w:r>
        <w:t xml:space="preserve">Источники данных: Оборотно-сальдовые ведомости по счетам 41 и 90 за 9 месяцев, выгрузка из товароучётной системы, отчёты о продажах по точкам, данные о ценах конкурентов из открытых источников.</w:t>
      </w:r>
    </w:p>
    <w:p>
      <w:pPr>
        <w:ind w:firstLine="425"/>
      </w:pPr>
      <w:r>
        <w:t xml:space="preserve">Методика анализа: Горизонтальный и вертикальный анализ выручки и себестоимости по каналам, факторный разбор отклонения валовой маржи, сопоставление с предыдущим периодом и с аналогичным периодом прошлого года.</w:t>
      </w:r>
    </w:p>
    <w:p>
      <w:pPr>
        <w:ind w:firstLine="425"/>
      </w:pPr>
      <w:r>
        <w:t xml:space="preserve">Ограничения и допущения: Данные по одной точке за август недоступны из-за перехода на новую кассовую программу, показатели по ней восстановлены расчётно.</w:t>
      </w:r>
    </w:p>
    <w:p>
      <w:pPr>
        <w:ind w:firstLine="425"/>
      </w:pPr>
      <w:r>
        <w:t xml:space="preserve">Данные приведены по состоянию на дату составления записки. При последующем уточнении первичных данных выводы подлежат пересмотру.</w:t>
      </w:r>
    </w:p>
    <w:p>
      <w:pPr>
        <w:ind w:firstLine="425"/>
      </w:pPr>
      <w:r>
        <w:t xml:space="preserve">Для показателей, взятых из бухгалтерского учёта, источником служат регистры бухгалтерского учёта соответствующего периода (ст. 10 402-ФЗ).</w:t>
      </w:r>
    </w:p>
    <w:p>
      <w:pPr>
        <w:pStyle w:val="ClauseHeading"/>
      </w:pPr>
      <w:r>
        <w:rPr>
          <w:b/>
        </w:rPr>
        <w:t xml:space="preserve">Показатели и их динамика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76"/>
        <w:gridCol w:w="8763"/>
      </w:tblGrid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45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Показатель|i_unit=Ед.|i_base=База|i_current=Отчётный период|i_delta=Отклонение|i_source=Источник</w:t>
            </w: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  <w:r>
              <w:t xml:space="preserve">Валовая маржа розничного канала</w:t>
            </w: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Style w:val="ClauseHeading"/>
      </w:pPr>
      <w:r>
        <w:rPr>
          <w:b/>
        </w:rPr>
        <w:t xml:space="preserve">Разграфка показателей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46"/>
        <w:gridCol w:w="1819"/>
        <w:gridCol w:w="727"/>
        <w:gridCol w:w="1637"/>
        <w:gridCol w:w="1637"/>
        <w:gridCol w:w="1819"/>
        <w:gridCol w:w="1455"/>
      </w:tblGrid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Показатель</w:t>
            </w:r>
          </w:p>
        </w:tc>
        <w:tc>
          <w:tcPr>
            <w:tcW w:w="3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Базовый период</w:t>
            </w:r>
          </w:p>
        </w:tc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Отчётный период</w:t>
            </w:r>
          </w:p>
        </w:tc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Отклонение</w:t>
            </w:r>
          </w:p>
        </w:tc>
        <w:tc>
          <w:tcPr>
            <w:tcW w:w="7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Источник данных</w:t>
            </w: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Style w:val="ClauseHeading"/>
      </w:pPr>
      <w:r>
        <w:rPr>
          <w:b/>
        </w:rPr>
        <w:t xml:space="preserve">Факторный разбор отклонений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76"/>
        <w:gridCol w:w="8763"/>
      </w:tblGrid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45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Фактор|f_effect=Вклад в отклонение|f_proof=Чем подтверждается|f_control=Управляемость</w:t>
            </w: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  <w:r>
              <w:t xml:space="preserve">Рост закупочных цен по группе «бытовая химия»</w:t>
            </w: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Style w:val="ClauseHeading"/>
      </w:pPr>
      <w:r>
        <w:rPr>
          <w:b/>
        </w:rPr>
        <w:t xml:space="preserve">Разбор: что изменилось и почему</w:t>
      </w:r>
    </w:p>
    <w:p>
      <w:pPr>
        <w:ind w:firstLine="425"/>
      </w:pPr>
      <w:r>
        <w:t xml:space="preserve">Каждое отклонение раскладывается на факторы, а сумма вкладов факторов должна сходиться с общим отклонением. Необъяснённый остаток называется прямо, а не растворяется в тексте.</w:t>
      </w:r>
    </w:p>
    <w:p>
      <w:pPr>
        <w:ind w:firstLine="425"/>
      </w:pPr>
      <w:r>
        <w:t xml:space="preserve">По каждому фактору указывается, управляем он организацией или внешний. Это определяет, есть ли смысл предлагать по нему решение.</w:t>
      </w:r>
    </w:p>
    <w:p>
      <w:pPr>
        <w:ind w:firstLine="425"/>
      </w:pPr>
      <w:r>
        <w:t xml:space="preserve">Факты и оценки разделяются. Данные — в таблице и с источником, интерпретация — отдельным абзацем со словами «по нашей оценке».</w:t>
      </w:r>
    </w:p>
    <w:p>
      <w:pPr>
        <w:ind w:firstLine="425"/>
      </w:pPr>
      <w:r>
        <w:t xml:space="preserve">Совпадение во времени не доказывает причину. Если связь предполагается, а не доказана, так и пишется.</w:t>
      </w:r>
    </w:p>
    <w:p>
      <w:pPr>
        <w:ind w:firstLine="425"/>
      </w:pPr>
      <w:r>
        <w:t xml:space="preserve">Показатели за один период не показывают ничего: любая величина имеет смысл только в сравнении с предыдущим периодом, планом или сопоставимым объектом.</w:t>
      </w:r>
    </w:p>
    <w:p>
      <w:pPr>
        <w:pStyle w:val="ClauseHeading"/>
      </w:pPr>
      <w:r>
        <w:rPr>
          <w:b/>
        </w:rPr>
        <w:t xml:space="preserve">Профильный разбор: финансы и затраты</w:t>
      </w:r>
    </w:p>
    <w:p>
      <w:pPr>
        <w:ind w:firstLine="425"/>
      </w:pPr>
      <w:r>
        <w:t xml:space="preserve">Раскладывается изменение выручки: цена, объём, ассортиментная структура, состав каналов продаж.</w:t>
      </w:r>
    </w:p>
    <w:p>
      <w:pPr>
        <w:ind w:firstLine="425"/>
      </w:pPr>
      <w:r>
        <w:t xml:space="preserve">Отдельно анализируется себестоимость: закупочные цены, логистика, потери и списания, изменение нормативов расхода.</w:t>
      </w:r>
    </w:p>
    <w:p>
      <w:pPr>
        <w:ind w:firstLine="425"/>
      </w:pPr>
      <w:r>
        <w:t xml:space="preserve">Постоянные и переменные затраты разделяются: рост постоянных при падении объёма даёт совсем другие выводы, чем рост переменных.</w:t>
      </w:r>
    </w:p>
    <w:p>
      <w:pPr>
        <w:ind w:firstLine="425"/>
      </w:pPr>
      <w:r>
        <w:t xml:space="preserve">Проверяется сопоставимость данных: изменение учётной политики, переклассификация статей или смена методики распределения затрат делают сравнение периодов некорректным без пересчёта (ст. 8 402-ФЗ).</w:t>
      </w:r>
    </w:p>
    <w:p>
      <w:pPr>
        <w:ind w:firstLine="425"/>
      </w:pPr>
      <w:r>
        <w:t xml:space="preserve">Дебиторская и кредиторская задолженность анализируется по срокам возникновения: средняя оборачиваемость скрывает просрочку по отдельным контрагентам.</w:t>
      </w:r>
    </w:p>
    <w:p>
      <w:pPr>
        <w:pStyle w:val="ClauseHeading"/>
      </w:pPr>
      <w:r>
        <w:rPr>
          <w:b/>
        </w:rPr>
        <w:t xml:space="preserve">Профильный разбор: персонал</w:t>
      </w:r>
    </w:p>
    <w:p>
      <w:pPr>
        <w:ind w:firstLine="425"/>
      </w:pPr>
      <w:r>
        <w:t xml:space="preserve">Численность анализируется в среднесписочном выражении, а не на дату: показатель на дату скрывает движение внутри периода.</w:t>
      </w:r>
    </w:p>
    <w:p>
      <w:pPr>
        <w:ind w:firstLine="425"/>
      </w:pPr>
      <w:r>
        <w:t xml:space="preserve">Текучесть считается отдельно по подразделениям и по стажу работы. Уход сотрудников в первые три месяца — это проблема подбора и адаптации, уход после трёх лет — проблема развития и оплаты.</w:t>
      </w:r>
    </w:p>
    <w:p>
      <w:pPr>
        <w:ind w:firstLine="425"/>
      </w:pPr>
      <w:r>
        <w:t xml:space="preserve">Фонд оплаты труда раскладывается на постоянную и переменную части, а изменение — на эффект численности и эффект средней выплаты.</w:t>
      </w:r>
    </w:p>
    <w:p>
      <w:pPr>
        <w:ind w:firstLine="425"/>
      </w:pPr>
      <w:r>
        <w:t xml:space="preserve">Отдельно оценивается доля сверхурочной работы и работы в выходные: устойчивый рост говорит о нехватке людей, а не о трудолюбии.</w:t>
      </w:r>
    </w:p>
    <w:p>
      <w:pPr>
        <w:ind w:firstLine="425"/>
      </w:pPr>
      <w:r>
        <w:t xml:space="preserve">Выводы о конкретных работниках в аналитической записке не делаются: для этого существуют другие документы и другая процедура.</w:t>
      </w:r>
    </w:p>
    <w:p>
      <w:pPr>
        <w:pStyle w:val="ClauseHeading"/>
      </w:pPr>
      <w:r>
        <w:rPr>
          <w:b/>
        </w:rPr>
        <w:t xml:space="preserve">Профильный разбор: проверка или инвентаризация</w:t>
      </w:r>
    </w:p>
    <w:p>
      <w:pPr>
        <w:ind w:firstLine="425"/>
      </w:pPr>
      <w:r>
        <w:t xml:space="preserve">Записка по итогам проверки опирается на первичные документы проверки: акты, описи, сличительные ведомости, объяснения ответственных лиц.</w:t>
      </w:r>
    </w:p>
    <w:p>
      <w:pPr>
        <w:ind w:firstLine="425"/>
      </w:pPr>
      <w:r>
        <w:t xml:space="preserve">Выявленные расхождения группируются по типам: недостача, излишек, пересорт, ошибка учёта, нарушение процедуры. Разные типы требуют разных решений.</w:t>
      </w:r>
    </w:p>
    <w:p>
      <w:pPr>
        <w:ind w:firstLine="425"/>
      </w:pPr>
      <w:r>
        <w:t xml:space="preserve">Отдельно оценивается, разовое это отклонение или системное. Системное показывает дефект процесса, разовое — дефект исполнения.</w:t>
      </w:r>
    </w:p>
    <w:p>
      <w:pPr>
        <w:ind w:firstLine="425"/>
      </w:pPr>
      <w:r>
        <w:t xml:space="preserve">Расхождения, выявленные при инвентаризации активов и обязательств, отражаются в учёте в том отчётном периоде, к которому относится дата её проведения (ст. 11 402-ФЗ).</w:t>
      </w:r>
    </w:p>
    <w:p>
      <w:pPr>
        <w:ind w:firstLine="425"/>
      </w:pPr>
      <w:r>
        <w:t xml:space="preserve">Записка не подменяет акт инвентаризации и не устанавливает вину: она объясняет причины и предлагает меры.</w:t>
      </w:r>
    </w:p>
    <w:p>
      <w:pPr>
        <w:pStyle w:val="ClauseHeading"/>
      </w:pPr>
      <w:r>
        <w:rPr>
          <w:b/>
        </w:rPr>
        <w:t xml:space="preserve">Варианты решения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76"/>
        <w:gridCol w:w="8763"/>
      </w:tblGrid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45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Вариант|o_effect=Ожидаемый эффект|o_cost=Затраты и сроки|o_risk=Риски</w:t>
            </w: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  <w:r>
              <w:t xml:space="preserve">Пересмотр розничных цен по 40 позициям группы</w:t>
            </w: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Style w:val="ClauseHeading"/>
      </w:pPr>
      <w:r>
        <w:rPr>
          <w:b/>
        </w:rPr>
        <w:t xml:space="preserve">Выводы и предложения</w:t>
      </w:r>
    </w:p>
    <w:p>
      <w:pPr>
        <w:ind w:firstLine="425"/>
      </w:pPr>
      <w:r>
        <w:t xml:space="preserve">Рекомендация составителя: Принять вариант 1 в части 18 позиций с наименьшей ценовой эластичностью, одновременно начать переговоры с альтернативным поставщиком.</w:t>
      </w:r>
    </w:p>
    <w:p>
      <w:pPr>
        <w:ind w:firstLine="425"/>
      </w:pPr>
      <w:r>
        <w:t xml:space="preserve">Требуется от адресата: Решение о пересмотре цен и поручение отделу закупок до 20.10.2026.</w:t>
      </w:r>
    </w:p>
    <w:p>
      <w:pPr>
        <w:ind w:firstLine="425"/>
      </w:pPr>
      <w:r>
        <w:t xml:space="preserve">Записка согласована с: Финансовая служба, отдел закупок.</w:t>
      </w:r>
    </w:p>
    <w:p>
      <w:pPr>
        <w:ind w:firstLine="425"/>
      </w:pPr>
      <w:r>
        <w:t xml:space="preserve">Вариант «оставить как есть» рассматривается наравне с остальными, с той же оценкой последствий. Его отсутствие в записке означает, что альтернативы не проработаны.</w:t>
      </w:r>
    </w:p>
    <w:p>
      <w:pPr>
        <w:ind w:firstLine="425"/>
      </w:pPr>
      <w:r>
        <w:t xml:space="preserve">Приложения: Выгрузка по 340 позициям на 12 листах, график динамики маржи.</w:t>
      </w:r>
    </w:p>
    <w:p>
      <w:pPr>
        <w:ind w:firstLine="425"/>
      </w:pPr>
      <w:r>
        <w:t xml:space="preserve">Составил: Руководитель отдела аналитики Крылов Денис Александрович, подпись, дата.</w:t>
      </w:r>
    </w:p>
    <w:p>
      <w:pPr>
        <w:ind w:firstLine="425"/>
      </w:pPr>
      <w:r>
        <w:t xml:space="preserve">Резолюция адресата: ____________________________________________________________</w:t>
      </w:r>
    </w:p>
    <w:p>
      <w:pPr>
        <w:ind w:firstLine="425"/>
      </w:pPr>
      <w:r>
        <w:t xml:space="preserve">Генеральный директор Ковалёв Андрей Петрович, подпись, дата.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исходных данных</w:t>
      </w:r>
    </w:p>
    <w:p>
      <w:pPr>
        <w:ind w:firstLine="425"/>
      </w:pPr>
      <w:r>
        <w:t xml:space="preserve">Прикладывается к записке и позволяет повторить расчёт без обращения к автору.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59"/>
        <w:gridCol w:w="1530"/>
        <w:gridCol w:w="2142"/>
        <w:gridCol w:w="1377"/>
        <w:gridCol w:w="1377"/>
        <w:gridCol w:w="1224"/>
        <w:gridCol w:w="1530"/>
      </w:tblGrid>
      <w:t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Показатель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Источник (система, регистр)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выгрузки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данных</w:t>
            </w:r>
          </w:p>
        </w:tc>
        <w:tc>
          <w:tcPr>
            <w:tcW w:w="6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Значение</w:t>
            </w:r>
          </w:p>
        </w:tc>
        <w:tc>
          <w:tcPr>
            <w:tcW w:w="7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Если значение получено расчётом, а не выгружено напрямую, в примечании приводится формула расчёта. Расчёт без формулы невоспроизводим, а значит непроверяем.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Оценка вариантов и рисков</w:t>
      </w:r>
    </w:p>
    <w:p>
      <w:pPr>
        <w:ind w:firstLine="425"/>
      </w:pPr>
      <w:r>
        <w:t xml:space="preserve">Заполняется по каждому предложенному варианту, включая вариант «ничего не менять».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273"/>
        <w:gridCol w:w="1091"/>
        <w:gridCol w:w="1273"/>
        <w:gridCol w:w="1637"/>
        <w:gridCol w:w="727"/>
        <w:gridCol w:w="2001"/>
        <w:gridCol w:w="1637"/>
      </w:tblGrid>
      <w:tr>
        <w:tc>
          <w:tcPr>
            <w:tcW w:w="66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Вариант</w:t>
            </w:r>
          </w:p>
        </w:tc>
        <w:tc>
          <w:tcPr>
            <w:tcW w:w="5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Эффект</w:t>
            </w:r>
          </w:p>
        </w:tc>
        <w:tc>
          <w:tcPr>
            <w:tcW w:w="66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Затраты</w:t>
            </w:r>
          </w:p>
        </w:tc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</w:t>
            </w:r>
          </w:p>
        </w:tc>
        <w:tc>
          <w:tcPr>
            <w:tcW w:w="3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Риск</w:t>
            </w:r>
          </w:p>
        </w:tc>
        <w:tc>
          <w:tcPr>
            <w:tcW w:w="10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Вероятность риска</w:t>
            </w:r>
          </w:p>
        </w:tc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Чем снижается</w:t>
            </w:r>
          </w:p>
        </w:tc>
      </w:tr>
      <w:tr>
        <w:trPr>
          <w:trHeight w:val="397" w:hRule="atLeast"/>
        </w:trPr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Вариант без указанных рисков не считается проработанным: у любого решения есть цена, и если она не названа, значит её не искали.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«Аналитическая записка» с сайта primadoc.ru. Документ, заполненный под вашу ситуацию, собирается в конструкторе: https://primadoc.ru/doc/analiticheskaya-zapiska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2"/>
        <w:szCs w:val="22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2"/>
    </w:rPr>
  </w:style>
  <w:style w:type="paragraph" w:styleId="ClauseHeading">
    <w:name w:val="Clause Heading"/>
    <w:pPr>
      <w:jc w:val="left"/>
      <w:spacing w:before="120" w:after="40"/>
    </w:pPr>
    <w:rPr>
      <w:b/>
      <w:sz w:val="22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Аналитическая записка — образец заполнения</dc:title>
  <dc:creator>Примадок</dc:creator>
  <dcterms:created xsi:type="dcterms:W3CDTF">2026-09-12T07:09:02Z</dcterms:created>
</cp:coreProperties>
</file>