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ввода в эксплуатацию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составления акта и состав комиссии</w:t>
      </w:r>
    </w:p>
    <w:p>
      <w:pPr>
        <w:ind w:firstLine="425"/>
      </w:pPr>
      <w:r>
        <w:t xml:space="preserve">1.1. Настоящим актом оформляется: Ввод объекта в эксплуатацию.</w:t>
      </w:r>
    </w:p>
    <w:p>
      <w:pPr>
        <w:ind w:firstLine="425"/>
      </w:pPr>
      <w:r>
        <w:t xml:space="preserve">1.2. Акт составлен 2026-08-31 в городе г. Пермь, номер акта — 16.</w:t>
      </w:r>
    </w:p>
    <w:p>
      <w:pPr>
        <w:ind w:firstLine="425"/>
      </w:pPr>
      <w:r>
        <w:t xml:space="preserve">1.3. Основание: приказ 58-ОД от 2026-08-24 о создании комиссии, а также договор поставки и монтажа № 44/2026 от 12.05.2026 с ООО «Промлайн».</w:t>
      </w:r>
    </w:p>
    <w:p>
      <w:pPr>
        <w:ind w:firstLine="425"/>
      </w:pPr>
      <w:r>
        <w:t xml:space="preserve">1.4. Председатель комиссии: главный инженер Радаев Виктор Николаевич.</w:t>
      </w:r>
    </w:p>
    <w:p>
      <w:pPr>
        <w:ind w:firstLine="425"/>
      </w:pPr>
      <w:r>
        <w:t xml:space="preserve">1.5. Члены комиссии: начальник цеха Юдин Кирилл Андреевич; специалист по охране труда Нечаева Алина Робертовна; главный энергетик Ушаков Павел Сергеевич.</w:t>
      </w:r>
    </w:p>
    <w:p>
      <w:pPr>
        <w:ind w:firstLine="425"/>
      </w:pPr>
      <w:r>
        <w:t xml:space="preserve">1.6. В работе комиссии участвует представитель поставщика или подрядчика: сервисный инженер ООО «Промлайн» Гайнуллин Ринат Маратович по доверенности от 03.08.2026. Его подпись подтверждает, что он согласен с зафиксированными параметрами и выявленными замечаниями.</w:t>
      </w:r>
    </w:p>
    <w:p>
      <w:pPr>
        <w:ind w:firstLine="425"/>
      </w:pPr>
      <w:r>
        <w:t xml:space="preserve">1.7. Акт утверждает генеральный директор Ковалёв Дмитрий Сергеевич.</w:t>
      </w:r>
    </w:p>
    <w:p>
      <w:pPr>
        <w:ind w:firstLine="425"/>
      </w:pPr>
      <w:r>
        <w:t xml:space="preserve">1.8. До утверждения руководителем акт не порождает последствий: объект не считается введённым, а объект учёта — принятым.</w:t>
      </w:r>
    </w:p>
    <w:p>
      <w:pPr>
        <w:ind w:firstLine="425"/>
      </w:pPr>
      <w:r>
        <w:t xml:space="preserve">1.9. Состав комиссии и подписи её членов приведены в Приложение № 1.</w:t>
      </w:r>
    </w:p>
    <w:p>
      <w:pPr>
        <w:pStyle w:val="ClauseHeading"/>
      </w:pPr>
      <w:r>
        <w:rPr>
          <w:b/>
        </w:rPr>
        <w:t xml:space="preserve">2. Сведения об объекте</w:t>
      </w:r>
    </w:p>
    <w:p>
      <w:pPr>
        <w:ind w:firstLine="425"/>
      </w:pPr>
      <w:r>
        <w:t xml:space="preserve">2.1. Объект: линия термоусадочной упаковки Shrinkpack SP-450. Категория объекта: Оборудование после монтажа и пусконаладки.</w:t>
      </w:r>
    </w:p>
    <w:p>
      <w:pPr>
        <w:ind w:firstLine="425"/>
      </w:pPr>
      <w:r>
        <w:t xml:space="preserve">2.2. Заводской, серийный или регистрационный номер: заводской № 2026-04417. Год выпуска или постройки: 2026.</w:t>
      </w:r>
    </w:p>
    <w:p>
      <w:pPr>
        <w:ind w:firstLine="425"/>
      </w:pPr>
      <w:r>
        <w:t xml:space="preserve">2.3. Изготовитель или разработчик: ООО «Шринкпак», Россия.</w:t>
      </w:r>
    </w:p>
    <w:p>
      <w:pPr>
        <w:ind w:firstLine="425"/>
      </w:pPr>
      <w:r>
        <w:t xml:space="preserve">2.4. Место установки или размещения: производственный цех № 1, г. Пермь, ул. Героев Хасана, д. 105, участок упаковки.</w:t>
      </w:r>
    </w:p>
    <w:p>
      <w:pPr>
        <w:ind w:firstLine="425"/>
      </w:pPr>
      <w:r>
        <w:t xml:space="preserve">2.5. Комплектность объекта проверена по паспорту и упаковочному листу; состав и комплектность приведены в Приложение № 2.</w:t>
      </w:r>
    </w:p>
    <w:p>
      <w:pPr>
        <w:ind w:firstLine="425"/>
      </w:pPr>
      <w:r>
        <w:t xml:space="preserve">2.6. Объект подлежит регистрации или учёту в надзорном органе.</w:t>
      </w:r>
    </w:p>
    <w:p>
      <w:pPr>
        <w:ind w:firstLine="425"/>
      </w:pPr>
      <w:r>
        <w:t xml:space="preserve">2.7. Реквизиты регистрации: паспорт самоходной машины ТС 481932, регистрация в Гостехнадзоре Пермского края от 28.08.2026. До регистрации эксплуатация объекта не допускается, а её начало квалифицируется как нарушение обязательных требований.</w:t>
      </w:r>
    </w:p>
    <w:p>
      <w:pPr>
        <w:pStyle w:val="ClauseHeading"/>
      </w:pPr>
      <w:r>
        <w:rPr>
          <w:b/>
        </w:rPr>
        <w:t xml:space="preserve">3. Документы, предъявленные комиссии</w:t>
      </w:r>
    </w:p>
    <w:p>
      <w:pPr>
        <w:ind w:firstLine="425"/>
      </w:pPr>
      <w:r>
        <w:t xml:space="preserve">3.1. Комиссии предъявлены документы: паспорт изделия, руководство по эксплуатации, сертификат соответствия ТР ТС 010/2011, протокол пусконаладочных работ, схема электроснабжения.</w:t>
      </w:r>
    </w:p>
    <w:p>
      <w:pPr>
        <w:ind w:firstLine="425"/>
      </w:pPr>
      <w:r>
        <w:t xml:space="preserve">3.2. Комиссия проверила наличие и комплектность документации, соответствие её объекту по наименованию и заводскому номеру, а также срок действия сертификатов и деклараций.</w:t>
      </w:r>
    </w:p>
    <w:p>
      <w:pPr>
        <w:ind w:firstLine="425"/>
      </w:pPr>
      <w:r>
        <w:t xml:space="preserve">3.3. Отсутствие паспорта, руководства по эксплуатации или обязательного документа о подтверждении соответствия является самостоятельным основанием не вводить объект в эксплуатацию, даже если сам объект работает.</w:t>
      </w:r>
    </w:p>
    <w:p>
      <w:pPr>
        <w:ind w:firstLine="425"/>
      </w:pPr>
      <w:r>
        <w:t xml:space="preserve">3.4. Подрядчик обязан передать заказчику вместе с результатом работ информацию об эксплуатации объекта, если без неё использовать результат по назначению невозможно.</w:t>
      </w:r>
    </w:p>
    <w:p>
      <w:pPr>
        <w:ind w:firstLine="425"/>
      </w:pPr>
      <w:r>
        <w:t xml:space="preserve">3.5. Перечень принятой документации с указанием количества листов приведён в Приложение № 3.</w:t>
      </w:r>
    </w:p>
    <w:p>
      <w:pPr>
        <w:ind w:firstLine="425"/>
      </w:pPr>
      <w:r>
        <w:t xml:space="preserve">3.6. Документация передаётся на русском языке.</w:t>
      </w:r>
    </w:p>
    <w:p>
      <w:pPr>
        <w:ind w:firstLine="425"/>
      </w:pPr>
      <w:r>
        <w:t xml:space="preserve">3.7. Инструкция на иностранном языке без перевода не считается переданной и не снимает с изготовителя ответственность за последствия неправильной эксплуатации.</w:t>
      </w:r>
    </w:p>
    <w:p>
      <w:pPr>
        <w:pStyle w:val="ClauseHeading"/>
      </w:pPr>
      <w:r>
        <w:rPr>
          <w:b/>
        </w:rPr>
        <w:t xml:space="preserve">4. Программа и методика испытаний</w:t>
      </w:r>
    </w:p>
    <w:p>
      <w:pPr>
        <w:ind w:firstLine="425"/>
      </w:pPr>
      <w:r>
        <w:t xml:space="preserve">4.1. Испытания проводились по программе и методике: программа и методика испытаний ПМИ-44/2026, утверждена главным инженером 25.08.2026.</w:t>
      </w:r>
    </w:p>
    <w:p>
      <w:pPr>
        <w:ind w:firstLine="425"/>
      </w:pPr>
      <w:r>
        <w:t xml:space="preserve">4.2. Программа определяет перечень проверяемых параметров, применяемые методы и средства измерений, число замеров, продолжительность и критерии, по которым результат признаётся положительным.</w:t>
      </w:r>
    </w:p>
    <w:p>
      <w:pPr>
        <w:ind w:firstLine="425"/>
      </w:pPr>
      <w:r>
        <w:t xml:space="preserve">4.3. Условия проведения испытаний: температура воздуха плюс 21 градус, влажность 47 процентов, напряжение сети 380 В, среда — техническая вода.</w:t>
      </w:r>
    </w:p>
    <w:p>
      <w:pPr>
        <w:ind w:firstLine="425"/>
      </w:pPr>
      <w:r>
        <w:t xml:space="preserve">4.4. Условия фиксируются, потому что то же испытание при другой температуре, влажности или напряжении сети даёт другие значения.</w:t>
      </w:r>
    </w:p>
    <w:p>
      <w:pPr>
        <w:ind w:firstLine="425"/>
      </w:pPr>
      <w:r>
        <w:t xml:space="preserve">4.5. Дата проведения: 2026-08-29. Продолжительность: 72 часа непрерывной работы под нагрузкой.</w:t>
      </w:r>
    </w:p>
    <w:p>
      <w:pPr>
        <w:ind w:firstLine="425"/>
      </w:pPr>
      <w:r>
        <w:t xml:space="preserve">4.6. Испытания проводил: испытательная лаборатория ООО «Прикамский центр испытаний», г. Пермь.</w:t>
      </w:r>
    </w:p>
    <w:p>
      <w:pPr>
        <w:ind w:firstLine="425"/>
      </w:pPr>
      <w:r>
        <w:t xml:space="preserve">4.7. Аттестат аккредитации испытательной лаборатории: аттестат аккредитации № РОСС RU.0001.21АВ58 действителен до 14.09.2029. Если обязательные требования предусматривают испытания аккредитованной лабораторией, протокол, составленный собственными силами, надзорным органом не принимается.</w:t>
      </w:r>
    </w:p>
    <w:p>
      <w:pPr>
        <w:ind w:firstLine="425"/>
      </w:pPr>
      <w:r>
        <w:t xml:space="preserve">4.8. Полная программа и методика испытаний приведена в Приложение № 4.</w:t>
      </w:r>
    </w:p>
    <w:p>
      <w:pPr>
        <w:pStyle w:val="ClauseHeading"/>
      </w:pPr>
      <w:r>
        <w:rPr>
          <w:b/>
        </w:rPr>
        <w:t xml:space="preserve">5. Меры безопасности при проведении испытаний</w:t>
      </w:r>
    </w:p>
    <w:p>
      <w:pPr>
        <w:ind w:firstLine="425"/>
      </w:pPr>
      <w:r>
        <w:t xml:space="preserve">5.1. Меры безопасности, принятые до начала испытаний: зона испытаний огорожена и обозначена знаками, посторонние удалены, у пульта дежурил слесарь-испытатель, аварийный останов проверен до начала работ.</w:t>
      </w:r>
    </w:p>
    <w:p>
      <w:pPr>
        <w:ind w:firstLine="425"/>
      </w:pPr>
      <w:r>
        <w:t xml:space="preserve">5.2. Комиссия проверила соблюдение требований охраны труда: ограждения и защитные устройства установлены, аварийный останов работоспособен, средства индивидуальной защиты выданы, знаки безопасности размещены.______Проверка соблюдения требований охраны труда комиссией не проводилась, поэтому объект не допускается к работе до отдельной проверки специалистом по охране труда.</w:t>
      </w:r>
    </w:p>
    <w:p>
      <w:pPr>
        <w:ind w:firstLine="425"/>
      </w:pPr>
      <w:r>
        <w:t xml:space="preserve">5.3. Испытания под давлением, под нагрузкой и с подачей напряжения проводятся при удалённом из опасной зоны персонале и под контролем ответственного лица.</w:t>
      </w:r>
    </w:p>
    <w:p>
      <w:pPr>
        <w:ind w:firstLine="425"/>
      </w:pPr>
      <w:r>
        <w:t xml:space="preserve">5.4. Персонал, который будет работать на объекте, обучен и проинструктирован; обучено работников: 5. Инструктаж зафиксирован в журнале регистрации инструктажей.______Персонал к работе на объекте не допускается до проведения обучения и инструктажа по охране труда.</w:t>
      </w:r>
    </w:p>
    <w:p>
      <w:pPr>
        <w:ind w:firstLine="425"/>
      </w:pPr>
      <w:r>
        <w:t xml:space="preserve">5.5. Работодатель обязан не допускать к работе лицо, не прошедшее обучение и инструктаж по охране труда; допуск такого работника — самостоятельное нарушение независимо от исправности оборудования.</w:t>
      </w:r>
    </w:p>
    <w:p>
      <w:pPr>
        <w:pStyle w:val="ClauseHeading"/>
      </w:pPr>
      <w:r>
        <w:rPr>
          <w:b/>
        </w:rPr>
        <w:t xml:space="preserve">6. Испытания и проверка работоспособности</w:t>
      </w:r>
    </w:p>
    <w:p>
      <w:pPr>
        <w:ind w:firstLine="425"/>
      </w:pPr>
      <w:r>
        <w:t xml:space="preserve">6.1. Результат испытаний: Испытания пройдены, параметры соответствуют проектным.</w:t>
      </w:r>
    </w:p>
    <w:p>
      <w:pPr>
        <w:ind w:firstLine="425"/>
      </w:pPr>
      <w:r>
        <w:t xml:space="preserve">6.2. Проверенные параметры и полученные значения: Производительность 420 упаковок в час при проектных 400; температура туннеля стабильно 178 градусов; потребляемая мощность 11,4 кВт при паспортных 12 кВт.</w:t>
      </w:r>
    </w:p>
    <w:p>
      <w:pPr>
        <w:ind w:firstLine="425"/>
      </w:pPr>
      <w:r>
        <w:t xml:space="preserve">6.3. Каждый параметр сопоставлен с проектным или паспортным значением.</w:t>
      </w:r>
    </w:p>
    <w:p>
      <w:pPr>
        <w:ind w:firstLine="425"/>
      </w:pPr>
      <w:r>
        <w:t xml:space="preserve">6.4. Запись «работает нормально» не заменяет измерение: без пары «факт — норма» претензию к поставщику обосновать нечем.</w:t>
      </w:r>
    </w:p>
    <w:p>
      <w:pPr>
        <w:ind w:firstLine="425"/>
      </w:pPr>
      <w:r>
        <w:t xml:space="preserve">6.5. Результаты замеров сведены в протокол: Приложение № 5.</w:t>
      </w:r>
    </w:p>
    <w:p>
      <w:pPr>
        <w:ind w:firstLine="425"/>
      </w:pPr>
      <w:r>
        <w:t xml:space="preserve">6.6. По итогам испытаний назначены повторные испытания на 2026-09-16. Повторные испытания проводятся по той же программе и в том же объёме, а при частичной проверке — в объёме параметров, по которым выявлены отклонения.</w:t>
      </w:r>
    </w:p>
    <w:p>
      <w:pPr>
        <w:ind w:firstLine="425"/>
      </w:pPr>
      <w:r>
        <w:t xml:space="preserve">6.7. Объект, не прошедший испытания, к эксплуатации не допускается независимо от производственной необходимости и от того, оплачен ли он.</w:t>
      </w:r>
    </w:p>
    <w:p>
      <w:pPr>
        <w:pStyle w:val="ClauseHeading"/>
      </w:pPr>
      <w:r>
        <w:rPr>
          <w:b/>
        </w:rPr>
        <w:t xml:space="preserve">7. Индивидуальные испытания оборудования</w:t>
      </w:r>
    </w:p>
    <w:p>
      <w:pPr>
        <w:ind w:firstLine="425"/>
      </w:pPr>
      <w:r>
        <w:t xml:space="preserve">7.1. Индивидуальные испытания проводятся по каждой машине, аппарату или агрегату отдельно, до комплексного опробования системы.</w:t>
      </w:r>
    </w:p>
    <w:p>
      <w:pPr>
        <w:ind w:firstLine="425"/>
      </w:pPr>
      <w:r>
        <w:t xml:space="preserve">7.2. Оборудование проверено на холостом ходу, а затем под нагрузкой в объёме, предусмотренном руководством по эксплуатации и программой испытаний.</w:t>
      </w:r>
    </w:p>
    <w:p>
      <w:pPr>
        <w:ind w:firstLine="425"/>
      </w:pPr>
      <w:r>
        <w:t xml:space="preserve">7.3. Проверены пуск и остановка, направление вращения, отсутствие посторонних шумов и вибрации, нагрев подшипников и корпуса, герметичность соединений, работа защит и блокировок.</w:t>
      </w:r>
    </w:p>
    <w:p>
      <w:pPr>
        <w:ind w:firstLine="425"/>
      </w:pPr>
      <w:r>
        <w:t xml:space="preserve">7.4. Оборудование признаётся выдержавшим индивидуальные испытания, если оно проработало установленное время без остановок и отклонений, а измеренные параметры укладываются в паспортные значения.</w:t>
      </w:r>
    </w:p>
    <w:p>
      <w:pPr>
        <w:ind w:firstLine="425"/>
      </w:pPr>
      <w:r>
        <w:t xml:space="preserve">7.5. Выявленные при индивидуальных испытаниях дефекты устраняет сторона, выполнившая монтаж или поставку, после чего испытания проводятся заново в полном объёме.</w:t>
      </w:r>
    </w:p>
    <w:p>
      <w:pPr>
        <w:ind w:firstLine="425"/>
      </w:pPr>
      <w:r>
        <w:t xml:space="preserve">7.6. Индивидуальные испытания не подтверждают работоспособность системы в целом: для этого проводится комплексное опробование.</w:t>
      </w:r>
    </w:p>
    <w:p>
      <w:pPr>
        <w:pStyle w:val="ClauseHeading"/>
      </w:pPr>
      <w:r>
        <w:rPr>
          <w:b/>
        </w:rPr>
        <w:t xml:space="preserve">8. Комплексное опробование и испытания системы</w:t>
      </w:r>
    </w:p>
    <w:p>
      <w:pPr>
        <w:ind w:firstLine="425"/>
      </w:pPr>
      <w:r>
        <w:t xml:space="preserve">8.1. Комплексное опробование проводится после успешных индивидуальных испытаний всего входящего в систему оборудования.</w:t>
      </w:r>
    </w:p>
    <w:p>
      <w:pPr>
        <w:ind w:firstLine="425"/>
      </w:pPr>
      <w:r>
        <w:t xml:space="preserve">8.2. Система проверена в работе на рабочих режимах в течение времени, установленного программой: 72 часа непрерывной работы под нагрузкой.</w:t>
      </w:r>
    </w:p>
    <w:p>
      <w:pPr>
        <w:ind w:firstLine="425"/>
      </w:pPr>
      <w:r>
        <w:t xml:space="preserve">8.3. Проверено взаимодействие элементов системы, срабатывание автоматики, защит и сигнализации, передача сигналов на пульт и корректность их отображения, а также поведение системы при имитации отказа одного из элементов.</w:t>
      </w:r>
    </w:p>
    <w:p>
      <w:pPr>
        <w:ind w:firstLine="425"/>
      </w:pPr>
      <w:r>
        <w:t xml:space="preserve">8.4. Система считается выдержавшей комплексное опробование, если она непрерывно проработала установленное время на проектных параметрах без вмешательства персонала в ручном режиме.</w:t>
      </w:r>
    </w:p>
    <w:p>
      <w:pPr>
        <w:ind w:firstLine="425"/>
      </w:pPr>
      <w:r>
        <w:t xml:space="preserve">8.5. Отказ любого элемента в ходе комплексного опробования прекращает испытание.</w:t>
      </w:r>
    </w:p>
    <w:p>
      <w:pPr>
        <w:ind w:firstLine="425"/>
      </w:pPr>
      <w:r>
        <w:t xml:space="preserve">8.6. После устранения причины отсчёт времени непрерывной работы начинается заново, а не продолжается с места остановки.</w:t>
      </w:r>
    </w:p>
    <w:p>
      <w:pPr>
        <w:ind w:firstLine="425"/>
      </w:pPr>
      <w:r>
        <w:t xml:space="preserve">8.7. Результаты по каждому проверенному режиму фиксируются отдельно; общая оценка «система работает» без разбивки по режимам не принимается.</w:t>
      </w:r>
    </w:p>
    <w:p>
      <w:pPr>
        <w:pStyle w:val="ClauseHeading"/>
      </w:pPr>
      <w:r>
        <w:rPr>
          <w:b/>
        </w:rPr>
        <w:t xml:space="preserve">9. Испытания на прочность и герметичность</w:t>
      </w:r>
    </w:p>
    <w:p>
      <w:pPr>
        <w:ind w:firstLine="425"/>
      </w:pPr>
      <w:r>
        <w:t xml:space="preserve">9.1. Испытание проведено с целью проверки прочности и плотности соединений трубопровода, ёмкости или системы.</w:t>
      </w:r>
    </w:p>
    <w:p>
      <w:pPr>
        <w:ind w:firstLine="425"/>
      </w:pPr>
      <w:r>
        <w:t xml:space="preserve">9.2. Параметры испытания: испытательное 1,5 МПа при рабочем 1,0 МПа, среда — вода температурой 20 градусов.</w:t>
      </w:r>
    </w:p>
    <w:p>
      <w:pPr>
        <w:ind w:firstLine="425"/>
      </w:pPr>
      <w:r>
        <w:t xml:space="preserve">9.3. Выдержка и критерий герметичности: выдержка 10 минут, падение давления не более 0,02 МПа, видимых течей и запотеваний нет.</w:t>
      </w:r>
    </w:p>
    <w:p>
      <w:pPr>
        <w:ind w:firstLine="425"/>
      </w:pPr>
      <w:r>
        <w:t xml:space="preserve">9.4. Давление поднималось ступенями с осмотром соединений на каждой ступени.</w:t>
      </w:r>
    </w:p>
    <w:p>
      <w:pPr>
        <w:ind w:firstLine="425"/>
      </w:pPr>
      <w:r>
        <w:t xml:space="preserve">9.5. Осмотр под испытательным давлением не проводится: соединения осматриваются после снижения давления до рабочего.</w:t>
      </w:r>
    </w:p>
    <w:p>
      <w:pPr>
        <w:ind w:firstLine="425"/>
      </w:pPr>
      <w:r>
        <w:t xml:space="preserve">9.6. Система признаётся выдержавшей испытание, если за время выдержки не произошло падения давления сверх допустимого, а при осмотре не обнаружено течей, запотеваний, разрывов и видимых остаточных деформаций.</w:t>
      </w:r>
    </w:p>
    <w:p>
      <w:pPr>
        <w:ind w:firstLine="425"/>
      </w:pPr>
      <w:r>
        <w:t xml:space="preserve">9.7. Обнаруженные дефекты устраняются, после чего испытание повторяется в полном объёме.</w:t>
      </w:r>
    </w:p>
    <w:p>
      <w:pPr>
        <w:ind w:firstLine="425"/>
      </w:pPr>
      <w:r>
        <w:t xml:space="preserve">9.8. Подчеканка и подтяжка соединений под давлением не допускаются.</w:t>
      </w:r>
    </w:p>
    <w:p>
      <w:pPr>
        <w:ind w:firstLine="425"/>
      </w:pPr>
      <w:r>
        <w:t xml:space="preserve">9.9. Результат испытания действителен только вместе со сведениями о среде, температуре и приборе, которым измерялось давление.</w:t>
      </w:r>
    </w:p>
    <w:p>
      <w:pPr>
        <w:pStyle w:val="ClauseHeading"/>
      </w:pPr>
      <w:r>
        <w:rPr>
          <w:b/>
        </w:rPr>
        <w:t xml:space="preserve">10. Испытание конструкции контрольной нагрузкой</w:t>
      </w:r>
    </w:p>
    <w:p>
      <w:pPr>
        <w:ind w:firstLine="425"/>
      </w:pPr>
      <w:r>
        <w:t xml:space="preserve">10.1. Испытание проведено для проверки несущей способности конструкции.</w:t>
      </w:r>
    </w:p>
    <w:p>
      <w:pPr>
        <w:ind w:firstLine="425"/>
      </w:pPr>
      <w:r>
        <w:t xml:space="preserve">10.2. Нагрузка и схема её приложения: контрольная нагрузка 1,25 от проектной, 3 200 кг, приложена ступенями по 25 процентов с выдержкой 15 минут.</w:t>
      </w:r>
    </w:p>
    <w:p>
      <w:pPr>
        <w:ind w:firstLine="425"/>
      </w:pPr>
      <w:r>
        <w:t xml:space="preserve">10.3. Измеренные прогибы и деформации: максимальный прогиб 9 мм при допустимых 14 мм, остаточная деформация после снятия нагрузки 0 мм, трещин не обнаружено.</w:t>
      </w:r>
    </w:p>
    <w:p>
      <w:pPr>
        <w:ind w:firstLine="425"/>
      </w:pPr>
      <w:r>
        <w:t xml:space="preserve">10.4. Нагрузка прикладывалась ступенями с выдержкой на каждой ступени и с замером перемещений до и после выдержки.</w:t>
      </w:r>
    </w:p>
    <w:p>
      <w:pPr>
        <w:ind w:firstLine="425"/>
      </w:pPr>
      <w:r>
        <w:t xml:space="preserve">10.5. Перед началом испытания сняты нулевые отсчёты по всем точкам замера.</w:t>
      </w:r>
    </w:p>
    <w:p>
      <w:pPr>
        <w:ind w:firstLine="425"/>
      </w:pPr>
      <w:r>
        <w:t xml:space="preserve">10.6. Конструкция признаётся выдержавшей испытание, если прогиб не превысил расчётного, остаточные деформации после снятия нагрузки не превысили допустимых, а трещины и повреждения не обнаружены.</w:t>
      </w:r>
    </w:p>
    <w:p>
      <w:pPr>
        <w:ind w:firstLine="425"/>
      </w:pPr>
      <w:r>
        <w:t xml:space="preserve">10.7. Точки замеров и их расположение указываются в протоколе: без схемы точек цифры прогибов проверить и повторить невозможно.</w:t>
      </w:r>
    </w:p>
    <w:p>
      <w:pPr>
        <w:ind w:firstLine="425"/>
      </w:pPr>
      <w:r>
        <w:t xml:space="preserve">10.8. При отрицательном результате конструкция немедленно разгружается, доступ в зону под ней закрывается, а дальнейшее использование допускается только после усиления и повторного испытания.</w:t>
      </w:r>
    </w:p>
    <w:p>
      <w:pPr>
        <w:pStyle w:val="ClauseHeading"/>
      </w:pPr>
      <w:r>
        <w:rPr>
          <w:b/>
        </w:rPr>
        <w:t xml:space="preserve">11. Приёмочные (сдаточные) испытания</w:t>
      </w:r>
    </w:p>
    <w:p>
      <w:pPr>
        <w:ind w:firstLine="425"/>
      </w:pPr>
      <w:r>
        <w:t xml:space="preserve">11.1. Приёмочные испытания проводятся для решения вопроса о приёмке результата работ или поставленного объекта.</w:t>
      </w:r>
    </w:p>
    <w:p>
      <w:pPr>
        <w:ind w:firstLine="425"/>
      </w:pPr>
      <w:r>
        <w:t xml:space="preserve">11.2. Испытания проводятся с участием представителя поставщика или подрядчика: сервисный инженер ООО «Промлайн» Гайнуллин Ринат Маратович по доверенности от 03.08.2026. Заказчик, который провёл приёмочные испытания без вызова второй стороны, лишается сильной позиции в споре о качестве.</w:t>
      </w:r>
    </w:p>
    <w:p>
      <w:pPr>
        <w:ind w:firstLine="425"/>
      </w:pPr>
      <w:r>
        <w:t xml:space="preserve">11.3. Если договором или обязательными требованиями предусмотрены приёмочные испытания, приёмка возможна только при положительном результате; принять результат «под честное слово» и оформить испытания позже нельзя.</w:t>
      </w:r>
    </w:p>
    <w:p>
      <w:pPr>
        <w:ind w:firstLine="425"/>
      </w:pPr>
      <w:r>
        <w:t xml:space="preserve">11.4. Заказчик, обнаруживший при приёмке недостатки, обязан немедленно заявить о них.</w:t>
      </w:r>
    </w:p>
    <w:p>
      <w:pPr>
        <w:ind w:firstLine="425"/>
      </w:pPr>
      <w:r>
        <w:t xml:space="preserve">11.5. Недостатки, не оговорённые в акте, потом заявить нельзя, если только они не относятся к скрытым.</w:t>
      </w:r>
    </w:p>
    <w:p>
      <w:pPr>
        <w:ind w:firstLine="425"/>
      </w:pPr>
      <w:r>
        <w:t xml:space="preserve">11.6. Уклонение подрядчика от участия в приёмочных испытаниях не препятствует их проведению: испытания проводятся без него, а к акту прикладываются доказательства вызова.</w:t>
      </w:r>
    </w:p>
    <w:p>
      <w:pPr>
        <w:ind w:firstLine="425"/>
      </w:pPr>
      <w:r>
        <w:t xml:space="preserve">11.7. Результат приёмочных испытаний служит основанием для подписания или для мотивированного отказа от подписания акта приёмки работ.</w:t>
      </w:r>
    </w:p>
    <w:p>
      <w:pPr>
        <w:pStyle w:val="ClauseHeading"/>
      </w:pPr>
      <w:r>
        <w:rPr>
          <w:b/>
        </w:rPr>
        <w:t xml:space="preserve">12. Отбор образцов и проб для лабораторных испытаний</w:t>
      </w:r>
    </w:p>
    <w:p>
      <w:pPr>
        <w:ind w:firstLine="425"/>
      </w:pPr>
      <w:r>
        <w:t xml:space="preserve">12.1. Отобрано образцов (проб): 6 (6).</w:t>
      </w:r>
    </w:p>
    <w:p>
      <w:pPr>
        <w:ind w:firstLine="425"/>
      </w:pPr>
      <w:r>
        <w:t xml:space="preserve">12.2. Место и способ отбора: из партии № 114 на складе № 2 методом случайной выборки, по одному образцу из каждой пятой упаковки.</w:t>
      </w:r>
    </w:p>
    <w:p>
      <w:pPr>
        <w:ind w:firstLine="425"/>
      </w:pPr>
      <w:r>
        <w:t xml:space="preserve">12.3. Отбор произведён в присутствии всех членов комиссии и представителя стороны, чья продукция или объект проверяются.</w:t>
      </w:r>
    </w:p>
    <w:p>
      <w:pPr>
        <w:ind w:firstLine="425"/>
      </w:pPr>
      <w:r>
        <w:t xml:space="preserve">12.4. Отбор в отсутствие этой стороны допускается только при её надлежащем вызове и фиксации неявки.</w:t>
      </w:r>
    </w:p>
    <w:p>
      <w:pPr>
        <w:ind w:firstLine="425"/>
      </w:pPr>
      <w:r>
        <w:t xml:space="preserve">12.5. Каждый образец опечатан, снабжён этикеткой с датой, временем и местом отбора, номером партии и подписями участников отбора.</w:t>
      </w:r>
    </w:p>
    <w:p>
      <w:pPr>
        <w:ind w:firstLine="425"/>
      </w:pPr>
      <w:r>
        <w:t xml:space="preserve">12.6. Неопечатанный образец лабораторией не принимается, а результат по нему не имеет доказательственного значения.</w:t>
      </w:r>
    </w:p>
    <w:p>
      <w:pPr>
        <w:ind w:firstLine="425"/>
      </w:pPr>
      <w:r>
        <w:t xml:space="preserve">12.7. Образцы отбираются в количестве, достаточном для проведения повторного и арбитражного исследования; часть образцов остаётся на хранении у стороны, чья продукция проверяется.</w:t>
      </w:r>
    </w:p>
    <w:p>
      <w:pPr>
        <w:ind w:firstLine="425"/>
      </w:pPr>
      <w:r>
        <w:t xml:space="preserve">12.8. Результаты лабораторных испытаний оформляются протоколом лаборатории и прикладываются к настоящему акту; сам акт подтверждает только факт и порядок отбора.</w:t>
      </w:r>
    </w:p>
    <w:p>
      <w:pPr>
        <w:pStyle w:val="ClauseHeading"/>
      </w:pPr>
      <w:r>
        <w:rPr>
          <w:b/>
        </w:rPr>
        <w:t xml:space="preserve">13. Особенности ввода оборудования после монтажа</w:t>
      </w:r>
    </w:p>
    <w:p>
      <w:pPr>
        <w:ind w:firstLine="425"/>
      </w:pPr>
      <w:r>
        <w:t xml:space="preserve">13.1. Оборудование смонтировано, подключено к сетям и прошло пусконаладочные работы.</w:t>
      </w:r>
    </w:p>
    <w:p>
      <w:pPr>
        <w:ind w:firstLine="425"/>
      </w:pPr>
      <w:r>
        <w:t xml:space="preserve">13.2. Проверены правильность установки и крепления, подключение к электропитанию и заземление, наличие и работоспособность защитных ограждений и блокировок, соответствие фактических параметров паспортным.</w:t>
      </w:r>
    </w:p>
    <w:p>
      <w:pPr>
        <w:ind w:firstLine="425"/>
      </w:pPr>
      <w:r>
        <w:t xml:space="preserve">13.3. Проверено наличие таблички изготовителя с параметрами и маркировки органов управления на русском языке.</w:t>
      </w:r>
    </w:p>
    <w:p>
      <w:pPr>
        <w:ind w:firstLine="425"/>
      </w:pPr>
      <w:r>
        <w:t xml:space="preserve">13.4. Ответственный за эксплуатацию: начальник цеха Юдин Кирилл Андреевич.</w:t>
      </w:r>
    </w:p>
    <w:p>
      <w:pPr>
        <w:ind w:firstLine="425"/>
      </w:pPr>
      <w:r>
        <w:t xml:space="preserve">13.5. Периодичность технического обслуживания: ежесменный осмотр, техническое обслуживание раз в 500 моточасов, годовое обслуживание с заменой фильтров.</w:t>
      </w:r>
    </w:p>
    <w:p>
      <w:pPr>
        <w:ind w:firstLine="425"/>
      </w:pPr>
      <w:r>
        <w:t xml:space="preserve">13.6. Оборудование, требующее допуска персонала определённой квалификации, эксплуатируется только работниками, прошедшими обучение и имеющими подтверждающие документы.</w:t>
      </w:r>
    </w:p>
    <w:p>
      <w:pPr>
        <w:ind w:firstLine="425"/>
      </w:pPr>
      <w:r>
        <w:t xml:space="preserve">13.7. Эксплуатация оборудования с отключёнными защитами и блокировками запрещается и прекращает действие гарантийных обязательств изготовителя.</w:t>
      </w:r>
    </w:p>
    <w:p>
      <w:pPr>
        <w:pStyle w:val="ClauseHeading"/>
      </w:pPr>
      <w:r>
        <w:rPr>
          <w:b/>
        </w:rPr>
        <w:t xml:space="preserve">14. Особенности ввода инженерной системы</w:t>
      </w:r>
    </w:p>
    <w:p>
      <w:pPr>
        <w:ind w:firstLine="425"/>
      </w:pPr>
      <w:r>
        <w:t xml:space="preserve">14.1. Инженерная система здания смонтирована, промыта, опрессована и подготовлена к работе.</w:t>
      </w:r>
    </w:p>
    <w:p>
      <w:pPr>
        <w:ind w:firstLine="425"/>
      </w:pPr>
      <w:r>
        <w:t xml:space="preserve">14.2. Проверены герметичность и прочность соединений, работа запорной и регулирующей арматуры, наличие и работоспособность приборов учёта и контроля, отсутствие протечек в местах прохода через конструкции.</w:t>
      </w:r>
    </w:p>
    <w:p>
      <w:pPr>
        <w:ind w:firstLine="425"/>
      </w:pPr>
      <w:r>
        <w:t xml:space="preserve">14.3. Система запущена в рабочем режиме, параметры вышли на проектные значения и держатся стабильно в течение времени, установленного программой испытаний.</w:t>
      </w:r>
    </w:p>
    <w:p>
      <w:pPr>
        <w:ind w:firstLine="425"/>
      </w:pPr>
      <w:r>
        <w:t xml:space="preserve">14.4. Проверено, что при отключении питания система переходит в безопасное состояние, а автоматика возобновляет работу без ручного вмешательства.</w:t>
      </w:r>
    </w:p>
    <w:p>
      <w:pPr>
        <w:ind w:firstLine="425"/>
      </w:pPr>
      <w:r>
        <w:t xml:space="preserve">14.5. Если система обслуживает общее имущество многоквартирного дома, ввод согласуется с управляющей организацией, а работы, затрагивающие общее имущество, — с собственниками помещений.</w:t>
      </w:r>
    </w:p>
    <w:p>
      <w:pPr>
        <w:ind w:firstLine="425"/>
      </w:pPr>
      <w:r>
        <w:t xml:space="preserve">14.6. Исполнительные схемы и паспорта на смонтированное оборудование переданы эксплуатирующей организации и хранятся вместе с настоящим актом.</w:t>
      </w:r>
    </w:p>
    <w:p>
      <w:pPr>
        <w:pStyle w:val="ClauseHeading"/>
      </w:pPr>
      <w:r>
        <w:rPr>
          <w:b/>
        </w:rPr>
        <w:t xml:space="preserve">15. Особенности ввода транспортного средства и самоходной техники</w:t>
      </w:r>
    </w:p>
    <w:p>
      <w:pPr>
        <w:ind w:firstLine="425"/>
      </w:pPr>
      <w:r>
        <w:t xml:space="preserve">15.1. Транспортное средство или самоходная машина принята к эксплуатации после проверки технического состояния.</w:t>
      </w:r>
    </w:p>
    <w:p>
      <w:pPr>
        <w:ind w:firstLine="425"/>
      </w:pPr>
      <w:r>
        <w:t xml:space="preserve">15.2. Проверены наличие и соответствие паспорта, регистрационных документов, комплектность, показания приборов, работа тормозной системы, рулевого управления, световых приборов и сигнализации.</w:t>
      </w:r>
    </w:p>
    <w:p>
      <w:pPr>
        <w:ind w:firstLine="425"/>
      </w:pPr>
      <w:r>
        <w:t xml:space="preserve">15.3. Объект подлежит регистрации: паспорт самоходной машины ТС 481932, регистрация в Гостехнадзоре Пермского края от 28.08.2026. Эксплуатация до регистрации не допускается.</w:t>
      </w:r>
    </w:p>
    <w:p>
      <w:pPr>
        <w:ind w:firstLine="425"/>
      </w:pPr>
      <w:r>
        <w:t xml:space="preserve">15.4. К управлению допускаются только работники, имеющие удостоверение соответствующей категории и прошедшие медицинский осмотр.</w:t>
      </w:r>
    </w:p>
    <w:p>
      <w:pPr>
        <w:ind w:firstLine="425"/>
      </w:pPr>
      <w:r>
        <w:t xml:space="preserve">15.5. Установлен порядок предрейсового контроля технического состояния и выпуска на линию; ответственный за выпуск: начальник цеха Юдин Кирилл Андреевич.</w:t>
      </w:r>
    </w:p>
    <w:p>
      <w:pPr>
        <w:ind w:firstLine="425"/>
      </w:pPr>
      <w:r>
        <w:t xml:space="preserve">15.6. Показания одометра и счётчика моточасов на дату ввода фиксируются в акте: от них считается наработка и наступление сроков обслуживания.</w:t>
      </w:r>
    </w:p>
    <w:p>
      <w:pPr>
        <w:pStyle w:val="ClauseHeading"/>
      </w:pPr>
      <w:r>
        <w:rPr>
          <w:b/>
        </w:rPr>
        <w:t xml:space="preserve">16. Особенности ввода помещения после ремонта</w:t>
      </w:r>
    </w:p>
    <w:p>
      <w:pPr>
        <w:ind w:firstLine="425"/>
      </w:pPr>
      <w:r>
        <w:t xml:space="preserve">16.1. Помещение принято после завершения ремонтных работ и признано пригодным для использования по назначению.</w:t>
      </w:r>
    </w:p>
    <w:p>
      <w:pPr>
        <w:ind w:firstLine="425"/>
      </w:pPr>
      <w:r>
        <w:t xml:space="preserve">16.2. Проверены состояние отделки, полов, потолков, оконных и дверных блоков, работа систем освещения, отопления, водоснабжения и вентиляции, отсутствие следов протечек и повреждений.</w:t>
      </w:r>
    </w:p>
    <w:p>
      <w:pPr>
        <w:ind w:firstLine="425"/>
      </w:pPr>
      <w:r>
        <w:t xml:space="preserve">16.3. Помещение освобождено от строительного мусора, оборудования и материалов подрядчика, временные подключения демонтированы.</w:t>
      </w:r>
    </w:p>
    <w:p>
      <w:pPr>
        <w:ind w:firstLine="425"/>
      </w:pPr>
      <w:r>
        <w:t xml:space="preserve">16.4. Скрытые работы приняты промежуточными актами; при отсутствии таких актов заказчик вправе требовать вскрытия соответствующих участков за счёт подрядчика.</w:t>
      </w:r>
    </w:p>
    <w:p>
      <w:pPr>
        <w:ind w:firstLine="425"/>
      </w:pPr>
      <w:r>
        <w:t xml:space="preserve">16.5. Замечания к качеству отделки и монтажа фиксируются в настоящем акте, а их устранение производится в согласованный срок без дополнительной оплаты.</w:t>
      </w:r>
    </w:p>
    <w:p>
      <w:pPr>
        <w:ind w:firstLine="425"/>
      </w:pPr>
      <w:r>
        <w:t xml:space="preserve">16.6. Гарантийный срок на результат ремонтных работ исчисляется с даты подписания настоящего акта, если договором не установлено иное.</w:t>
      </w:r>
    </w:p>
    <w:p>
      <w:pPr>
        <w:pStyle w:val="ClauseHeading"/>
      </w:pPr>
      <w:r>
        <w:rPr>
          <w:b/>
        </w:rPr>
        <w:t xml:space="preserve">17. Особенности ввода программного обеспечения и информационной системы</w:t>
      </w:r>
    </w:p>
    <w:p>
      <w:pPr>
        <w:ind w:firstLine="425"/>
      </w:pPr>
      <w:r>
        <w:t xml:space="preserve">17.1. Программное обеспечение или информационная система принята в промышленную эксплуатацию.</w:t>
      </w:r>
    </w:p>
    <w:p>
      <w:pPr>
        <w:ind w:firstLine="425"/>
      </w:pPr>
      <w:r>
        <w:t xml:space="preserve">17.2. Проверены установка и настройка на рабочих местах, выполнение функциональных требований, корректность расчётов и отчётных форм, работа резервного копирования и восстановления данных, разграничение прав доступа.</w:t>
      </w:r>
    </w:p>
    <w:p>
      <w:pPr>
        <w:ind w:firstLine="425"/>
      </w:pPr>
      <w:r>
        <w:t xml:space="preserve">17.3. Проверена работоспособность системы под расчётной нагрузкой и корректность обмена данными со смежными системами.</w:t>
      </w:r>
    </w:p>
    <w:p>
      <w:pPr>
        <w:ind w:firstLine="425"/>
      </w:pPr>
      <w:r>
        <w:t xml:space="preserve">17.4. Права использования программы предоставлены в объёме, необходимом эксплуатирующей организации; реквизиты лицензии и её срок зафиксированы в переданной документации.</w:t>
      </w:r>
    </w:p>
    <w:p>
      <w:pPr>
        <w:ind w:firstLine="425"/>
      </w:pPr>
      <w:r>
        <w:t xml:space="preserve">17.5. Если система обрабатывает персональные данные, до начала эксплуатации приняты меры по их защите и определены лица, имеющие доступ к данным.</w:t>
      </w:r>
    </w:p>
    <w:p>
      <w:pPr>
        <w:ind w:firstLine="425"/>
      </w:pPr>
      <w:r>
        <w:t xml:space="preserve">17.6. Пользователи обучены, эксплуатационная документация и инструкции переданы; обучено работников: 5.</w:t>
      </w:r>
    </w:p>
    <w:p>
      <w:pPr>
        <w:pStyle w:val="ClauseHeading"/>
      </w:pPr>
      <w:r>
        <w:rPr>
          <w:b/>
        </w:rPr>
        <w:t xml:space="preserve">18. Особенности ввода объекта после реконструкции и модернизации</w:t>
      </w:r>
    </w:p>
    <w:p>
      <w:pPr>
        <w:ind w:firstLine="425"/>
      </w:pPr>
      <w:r>
        <w:t xml:space="preserve">18.1. Объект принят после реконструкции, модернизации или дооборудования.</w:t>
      </w:r>
    </w:p>
    <w:p>
      <w:pPr>
        <w:ind w:firstLine="425"/>
      </w:pPr>
      <w:r>
        <w:t xml:space="preserve">18.2. В акте фиксируется, что именно изменилось: какие узлы заменены или добавлены, как изменились технические характеристики, производительность и назначение объекта.</w:t>
      </w:r>
    </w:p>
    <w:p>
      <w:pPr>
        <w:ind w:firstLine="425"/>
      </w:pPr>
      <w:r>
        <w:t xml:space="preserve">18.3. Проверено, что изменения выполнены по утверждённой документации, а отступления от неё согласованы письменно.</w:t>
      </w:r>
    </w:p>
    <w:p>
      <w:pPr>
        <w:ind w:firstLine="425"/>
      </w:pPr>
      <w:r>
        <w:t xml:space="preserve">18.4. Стоимость работ по реконструкции и модернизации увеличивает первоначальную стоимость объекта: сумма затрат — 260000.</w:t>
      </w:r>
    </w:p>
    <w:p>
      <w:pPr>
        <w:ind w:firstLine="425"/>
      </w:pPr>
      <w:r>
        <w:t xml:space="preserve">18.5. Если в результате реконструкции улучшились нормативные показатели работы объекта, пересматривается срок полезного использования: 84 месяцев.</w:t>
      </w:r>
    </w:p>
    <w:p>
      <w:pPr>
        <w:ind w:firstLine="425"/>
      </w:pPr>
      <w:r>
        <w:t xml:space="preserve">18.6. Ремонт и модернизацию важно различать в документах: расходы на ремонт списываются единовременно, а на модернизацию — через амортизацию, и именно формулировка акта определяет, какой вариант примет налоговый орган.</w:t>
      </w:r>
    </w:p>
    <w:p>
      <w:pPr>
        <w:pStyle w:val="ClauseHeading"/>
      </w:pPr>
      <w:r>
        <w:rPr>
          <w:b/>
        </w:rPr>
        <w:t xml:space="preserve">19. Решение о вводе без замечаний</w:t>
      </w:r>
    </w:p>
    <w:p>
      <w:pPr>
        <w:ind w:firstLine="425"/>
      </w:pPr>
      <w:r>
        <w:t xml:space="preserve">19.1. Комиссия решила: объект соответствует предъявленным требованиям, испытания пройдены, замечаний нет.</w:t>
      </w:r>
    </w:p>
    <w:p>
      <w:pPr>
        <w:ind w:firstLine="425"/>
      </w:pPr>
      <w:r>
        <w:t xml:space="preserve">19.2. Объект вводится в эксплуатацию с 2026-09-01.</w:t>
      </w:r>
    </w:p>
    <w:p>
      <w:pPr>
        <w:ind w:firstLine="425"/>
      </w:pPr>
      <w:r>
        <w:t xml:space="preserve">19.3. Ответственным за эксплуатацию назначается начальник цеха Юдин Кирилл Андреевич.</w:t>
      </w:r>
    </w:p>
    <w:p>
      <w:pPr>
        <w:ind w:firstLine="425"/>
      </w:pPr>
      <w:r>
        <w:t xml:space="preserve">19.4. Обязательства поставщика или подрядчика в части поставки, монтажа и наладки объекта считаются исполненными надлежащим образом.</w:t>
      </w:r>
    </w:p>
    <w:p>
      <w:pPr>
        <w:ind w:firstLine="425"/>
      </w:pPr>
      <w:r>
        <w:t xml:space="preserve">19.5. Отсутствие замечаний не лишает эксплуатирующую организацию права заявить о недостатках, которые не могли быть обнаружены при обычном способе приёмки, в пределах гарантийного срока.</w:t>
      </w:r>
    </w:p>
    <w:p>
      <w:pPr>
        <w:pStyle w:val="ClauseHeading"/>
      </w:pPr>
      <w:r>
        <w:rPr>
          <w:b/>
        </w:rPr>
        <w:t xml:space="preserve">20. Организация эксплуатации и ответственное лицо</w:t>
      </w:r>
    </w:p>
    <w:p>
      <w:pPr>
        <w:ind w:firstLine="425"/>
      </w:pPr>
      <w:r>
        <w:t xml:space="preserve">20.1. Ответственным за эксплуатацию объекта назначается начальник цеха Юдин Кирилл Андреевич.</w:t>
      </w:r>
    </w:p>
    <w:p>
      <w:pPr>
        <w:ind w:firstLine="425"/>
      </w:pPr>
      <w:r>
        <w:t xml:space="preserve">20.2. Ответственное лицо обеспечивает соблюдение режимов работы, ведение эксплуатационной документации, своевременное техническое обслуживание и допуск к работе только обученного персонала.</w:t>
      </w:r>
    </w:p>
    <w:p>
      <w:pPr>
        <w:ind w:firstLine="425"/>
      </w:pPr>
      <w:r>
        <w:t xml:space="preserve">20.3. Периодичность технического обслуживания: ежесменный осмотр, техническое обслуживание раз в 500 моточасов, годовое обслуживание с заменой фильтров.</w:t>
      </w:r>
    </w:p>
    <w:p>
      <w:pPr>
        <w:ind w:firstLine="425"/>
      </w:pPr>
      <w:r>
        <w:t xml:space="preserve">20.4. Нарушение периодичности, установленной изготовителем, — типовое основание для отказа в гарантийном ремонте.</w:t>
      </w:r>
    </w:p>
    <w:p>
      <w:pPr>
        <w:ind w:firstLine="425"/>
      </w:pPr>
      <w:r>
        <w:t xml:space="preserve">20.5. Эксплуатационная документация хранится по месту нахождения объекта и доступна персоналу в течение всей смены.</w:t>
      </w:r>
    </w:p>
    <w:p>
      <w:pPr>
        <w:ind w:firstLine="425"/>
      </w:pPr>
      <w:r>
        <w:t xml:space="preserve">20.6. Персонал обучен и допущен к работе; обучено работников: 5.______До обучения и инструктажа персонала объект к работе не допускается.</w:t>
      </w:r>
    </w:p>
    <w:p>
      <w:pPr>
        <w:ind w:firstLine="425"/>
      </w:pPr>
      <w:r>
        <w:t xml:space="preserve">20.7. Об авариях, отказах и нарушениях режима ответственное лицо сообщает руководителю в день происшествия; факт оформляется отдельным актом.</w:t>
      </w:r>
    </w:p>
    <w:p>
      <w:pPr>
        <w:pStyle w:val="ClauseHeading"/>
      </w:pPr>
      <w:r>
        <w:rPr>
          <w:b/>
        </w:rPr>
        <w:t xml:space="preserve">21. Для чего служит основанием настоящий акт</w:t>
      </w:r>
    </w:p>
    <w:p>
      <w:pPr>
        <w:ind w:firstLine="425"/>
      </w:pPr>
      <w:r>
        <w:t xml:space="preserve">21.1. Акт подтверждает, что объект прошёл проверку и испытания и допущен к использованию по назначению с указанной даты.</w:t>
      </w:r>
    </w:p>
    <w:p>
      <w:pPr>
        <w:ind w:firstLine="425"/>
      </w:pPr>
      <w:r>
        <w:t xml:space="preserve">21.2. Акт является основанием для принятия объекта к бухгалтерскому и налоговому учёту и для начала начисления амортизации.</w:t>
      </w:r>
    </w:p>
    <w:p>
      <w:pPr>
        <w:ind w:firstLine="425"/>
      </w:pPr>
      <w:r>
        <w:t xml:space="preserve">21.3. Акт является основанием для начала течения гарантийного срока и для расчёта сроков предъявления требований по качеству.</w:t>
      </w:r>
    </w:p>
    <w:p>
      <w:pPr>
        <w:ind w:firstLine="425"/>
      </w:pPr>
      <w:r>
        <w:t xml:space="preserve">21.4. Акт является основанием для окончательного расчёта с поставщиком или подрядчиком либо для удержания части оплаты до устранения замечаний.</w:t>
      </w:r>
    </w:p>
    <w:p>
      <w:pPr>
        <w:ind w:firstLine="425"/>
      </w:pPr>
      <w:r>
        <w:t xml:space="preserve">21.5. Акт является основанием для допуска персонала к работе на объекте и для включения объекта в графики технического обслуживания.</w:t>
      </w:r>
    </w:p>
    <w:p>
      <w:pPr>
        <w:ind w:firstLine="425"/>
      </w:pPr>
      <w:r>
        <w:t xml:space="preserve">21.6. Акт является основанием для обращения к поставщику, подрядчику или страховщику при последующем отказе объекта — он фиксирует исходное состояние и параметры.</w:t>
      </w:r>
    </w:p>
    <w:p>
      <w:pPr>
        <w:ind w:firstLine="425"/>
      </w:pPr>
      <w:r>
        <w:t xml:space="preserve">21.7. Акт не заменяет разрешительные документы, если для эксплуатации объекта требуется разрешение, регистрация или уведомление надзорного органа.</w:t>
      </w:r>
    </w:p>
    <w:p>
      <w:pPr>
        <w:pStyle w:val="ClauseHeading"/>
      </w:pPr>
      <w:r>
        <w:rPr>
          <w:b/>
        </w:rPr>
        <w:t xml:space="preserve">22. Подписание, утверждение и хранение акта</w:t>
      </w:r>
    </w:p>
    <w:p>
      <w:pPr>
        <w:ind w:firstLine="425"/>
      </w:pPr>
      <w:r>
        <w:t xml:space="preserve">22.1. Акт составлен в 3 (3) экземплярах, имеющих равную юридическую силу.</w:t>
      </w:r>
    </w:p>
    <w:p>
      <w:pPr>
        <w:ind w:firstLine="425"/>
      </w:pPr>
      <w:r>
        <w:t xml:space="preserve">22.2. Акт подписывают председатель и все члены комиссии, а также представитель поставщика или подрядчика.</w:t>
      </w:r>
    </w:p>
    <w:p>
      <w:pPr>
        <w:ind w:firstLine="425"/>
      </w:pPr>
      <w:r>
        <w:t xml:space="preserve">22.3. Подпись одного члена комиссии за другого не допускается.</w:t>
      </w:r>
    </w:p>
    <w:p>
      <w:pPr>
        <w:ind w:firstLine="425"/>
      </w:pPr>
      <w:r>
        <w:t xml:space="preserve">22.4. Акт вступает в силу с даты его утверждения руководителем: генеральный директор Ковалёв Дмитрий Сергеевич.</w:t>
      </w:r>
    </w:p>
    <w:p>
      <w:pPr>
        <w:ind w:firstLine="425"/>
      </w:pPr>
      <w:r>
        <w:t xml:space="preserve">22.5. Член комиссии, не согласный с решением, подписывает акт и излагает особое мнение письменно; особое мнение прикладывается к акту.</w:t>
      </w:r>
    </w:p>
    <w:p>
      <w:pPr>
        <w:ind w:firstLine="425"/>
      </w:pPr>
      <w:r>
        <w:t xml:space="preserve">22.6. Исправления в акте заверяются подписями тех же лиц, которые его подписали, с указанием даты исправления.</w:t>
      </w:r>
    </w:p>
    <w:p>
      <w:pPr>
        <w:ind w:firstLine="425"/>
      </w:pPr>
      <w:r>
        <w:t xml:space="preserve">22.7. Подчистки и замазывание не допускаются.</w:t>
      </w:r>
    </w:p>
    <w:p>
      <w:pPr>
        <w:ind w:firstLine="425"/>
      </w:pPr>
      <w:r>
        <w:t xml:space="preserve">22.8. Акт хранится 5 (5) лет и более — не менее пяти лет после года выбытия объекта, поскольку он подтверждает первоначальную стоимость и дату начала амортизации.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Состав комиссии и подписи</w:t>
      </w:r>
    </w:p>
    <w:p>
      <w:pPr>
        <w:ind w:firstLine="425"/>
      </w:pPr>
      <w:r>
        <w:t xml:space="preserve">Комиссия действует на основании приказа 58-ОД от 2026-08-24.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142"/>
        <w:gridCol w:w="1963"/>
        <w:gridCol w:w="1428"/>
        <w:gridCol w:w="1428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особом мнении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Председатель комиссии: главный инженер Радаев Виктор Николаевич ______________ (подпись).</w:t>
      </w:r>
    </w:p>
    <w:p>
      <w:pPr>
        <w:ind w:firstLine="425"/>
      </w:pPr>
      <w:r>
        <w:t xml:space="preserve">Представитель поставщика или подрядчика: сервисный инженер ООО «Промлайн» Гайнуллин Ринат Маратович по доверенности от 03.08.2026 ______________ (подпись).</w:t>
      </w:r>
    </w:p>
    <w:p>
      <w:pPr>
        <w:ind w:firstLine="425"/>
      </w:pPr>
      <w:r>
        <w:t xml:space="preserve">Утверждаю: генеральный директор Ковалёв Дмитрий Сергеевич ______________ (подпись), «____»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Состав и комплектность объекта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3012"/>
        <w:gridCol w:w="753"/>
        <w:gridCol w:w="1356"/>
        <w:gridCol w:w="1506"/>
        <w:gridCol w:w="1054"/>
        <w:gridCol w:w="1506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узла, блока, комплектующего</w:t>
            </w:r>
          </w:p>
        </w:tc>
        <w:tc>
          <w:tcPr>
            <w:tcW w:w="3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Тип, марка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номер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Наличие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Комплектность проверена по паспорту изделия и упаковочному листу.</w:t>
      </w:r>
    </w:p>
    <w:p>
      <w:pPr>
        <w:ind w:firstLine="425"/>
      </w:pPr>
      <w:r>
        <w:t xml:space="preserve">Недостающие комплектующие: ____________________. Срок доукомплектования: ____________________.</w:t>
      </w:r>
    </w:p>
    <w:p>
      <w:pPr>
        <w:ind w:firstLine="425"/>
      </w:pPr>
      <w:r>
        <w:t xml:space="preserve">Объект: линия термоусадочной упаковки Shrinkpack SP-450, заводской номер заводской № 2026-04417.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принятой документации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2646"/>
        <w:gridCol w:w="1701"/>
        <w:gridCol w:w="945"/>
        <w:gridCol w:w="1890"/>
        <w:gridCol w:w="1890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3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Подлинник или копия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принято документов: ______ на ______ листах.</w:t>
      </w:r>
    </w:p>
    <w:p>
      <w:pPr>
        <w:ind w:firstLine="425"/>
      </w:pPr>
      <w:r>
        <w:t xml:space="preserve">Документация принята на русском языке. Документ на иностранном языке без перевода считается непереданным.</w:t>
      </w:r>
    </w:p>
    <w:p>
      <w:pPr>
        <w:ind w:firstLine="425"/>
      </w:pPr>
      <w:r>
        <w:t xml:space="preserve">Документацию передал: ______________________ (должность, Ф.И.О., подпись). Принял: ______________________ (должность, Ф.И.О., подпись).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Программа и методика испытаний</w:t>
      </w:r>
    </w:p>
    <w:p>
      <w:pPr>
        <w:ind w:firstLine="425"/>
      </w:pPr>
      <w:r>
        <w:t xml:space="preserve">Программа: программа и методика испытаний ПМИ-44/2026, утверждена главным инженером 25.08.2026. Дата проведения: 2026-08-29. Продолжительность: 72 часа непрерывной работы под нагрузкой.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559"/>
        <w:gridCol w:w="1134"/>
        <w:gridCol w:w="1276"/>
        <w:gridCol w:w="1843"/>
        <w:gridCol w:w="992"/>
        <w:gridCol w:w="2410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Проверяемый параметр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Метод проверки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измерения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(проектное значение)</w:t>
            </w:r>
          </w:p>
        </w:tc>
        <w:tc>
          <w:tcPr>
            <w:tcW w:w="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замеров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Критерий положительного результата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Условия проведения испытаний: температура воздуха плюс 21 градус, влажность 47 процентов, напряжение сети 380 В, среда — техническая вода.</w:t>
      </w:r>
    </w:p>
    <w:p>
      <w:pPr>
        <w:ind w:firstLine="425"/>
      </w:pPr>
      <w:r>
        <w:t xml:space="preserve">Испытания проводил: испытательная лаборатория ООО «Прикамский центр испытаний», г. Пермь. Аттестат аккредитации: аттестат аккредитации № РОСС RU.0001.21АВ58 действителен до 14.09.2029.</w:t>
      </w:r>
    </w:p>
    <w:p>
      <w:pPr>
        <w:ind w:firstLine="425"/>
      </w:pPr>
      <w:r>
        <w:t xml:space="preserve">Программу утверждает руководитель до начала испытаний; изменения в программу в ходе испытаний вносятся письменно с указанием причины.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Протокол замеров и результатов испытаний</w:t>
      </w:r>
    </w:p>
    <w:p>
      <w:pPr>
        <w:ind w:firstLine="425"/>
      </w:pPr>
      <w:r>
        <w:t xml:space="preserve">Объект: линия термоусадочной упаковки Shrinkpack SP-450, заводской номер заводской № 2026-04417. Дата: 2026-08-29.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2646"/>
        <w:gridCol w:w="1512"/>
        <w:gridCol w:w="945"/>
        <w:gridCol w:w="1701"/>
        <w:gridCol w:w="1323"/>
        <w:gridCol w:w="945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3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Точка (режим) и время замера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Замеры (1 / 2 / 3)</w:t>
            </w:r>
          </w:p>
        </w:tc>
        <w:tc>
          <w:tcPr>
            <w:tcW w:w="6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Среднее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Вывод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Средства измерений: манометр МТИ-1218 класса 0,6, зав. № 4471, поверка до 12.02.2027; тепловизор Testo 872, зав. № 6620148, поверка до 30.04.2027.</w:t>
      </w:r>
    </w:p>
    <w:p>
      <w:pPr>
        <w:ind w:firstLine="425"/>
      </w:pPr>
      <w:r>
        <w:t xml:space="preserve">В графе «Точка (режим) и время замера» после наименования точки указывается время замера. В графе «Замеры (1 / 2 / 3)» значения серии записываются через косую черту, в графе «Среднее» — среднее арифметическое серии.</w:t>
      </w:r>
    </w:p>
    <w:p>
      <w:pPr>
        <w:ind w:firstLine="425"/>
      </w:pPr>
      <w:r>
        <w:t xml:space="preserve">Отклонение от нормы отдельной графой не выделяется: оно видно из пары «Норма» — «Среднее», а при выходе за допуск указывается словами в графе «Вывод».</w:t>
      </w:r>
    </w:p>
    <w:p>
      <w:pPr>
        <w:ind w:firstLine="425"/>
      </w:pPr>
      <w:r>
        <w:t xml:space="preserve">Отдельный зарегистрированный замер представляет собой среднее значение серии замеров, если программой не предусмотрено иное.</w:t>
      </w:r>
    </w:p>
    <w:p>
      <w:pPr>
        <w:ind w:firstLine="425"/>
      </w:pPr>
      <w:r>
        <w:t xml:space="preserve">Результаты заносятся в протокол непосредственно в ходе испытаний. Протокол подписывают все члены комиссии.</w:t>
      </w:r>
    </w:p>
    <w:p>
      <w:pPr>
        <w:ind w:firstLine="425"/>
      </w:pPr>
      <w:r>
        <w:t xml:space="preserve">Общий вывод по результатам замеров: Испытания пройдены, параметры соответствуют проектным.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Перечень замечаний комиссии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629"/>
        <w:gridCol w:w="1629"/>
        <w:gridCol w:w="1901"/>
        <w:gridCol w:w="1358"/>
        <w:gridCol w:w="1493"/>
        <w:gridCol w:w="1222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замечания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нарушено требование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 за устранение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подпись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Срок устранения замечаний в целом: 2026-09-15.</w:t>
      </w:r>
    </w:p>
    <w:p>
      <w:pPr>
        <w:ind w:firstLine="425"/>
      </w:pPr>
      <w:r>
        <w:t xml:space="preserve">Ограничения режима работы до устранения замечаний: до устранения замечаний работа не более одной смены в сутки, без загрузки свыше 80 процентов производительности.</w:t>
      </w:r>
    </w:p>
    <w:p>
      <w:pPr>
        <w:ind w:firstLine="425"/>
      </w:pPr>
      <w:r>
        <w:t xml:space="preserve">Устранение замечаний подтверждается отдельным актом, который подписывает та же комиссия.</w:t>
      </w:r>
    </w:p>
    <w:p>
      <w:pPr>
        <w:pStyle w:val="ClauseHeading"/>
      </w:pPr>
      <w:r>
        <w:rPr>
          <w:b/>
        </w:rPr>
        <w:t xml:space="preserve">23.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Эксплуатирующая организация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Эксплуатирующая организация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Поставщик или подрядчик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Поставщик или подрядчик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ввода в эксплуатацию» с сайта primadoc.ru. Документ, заполненный под вашу ситуацию, собирается в конструкторе: https://primadoc.ru/doc/akt-vvoda-v-ekspluataciyu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ввода в эксплуатацию — образец заполнения</dc:title>
  <dc:creator>Примадок</dc:creator>
  <dcterms:created xsi:type="dcterms:W3CDTF">2026-09-12T08:06:22Z</dcterms:created>
</cp:coreProperties>
</file>