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ООО «Северная логистика»</w:t>
      </w:r>
    </w:p>
    <w:p>
      <w:pPr>
        <w:jc w:val="left"/>
      </w:pPr>
      <w:r>
        <w:t xml:space="preserve">Ерофеева Анна Викторовна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Акт об установленном расхождении по количеству и качеству при приёмке ТМЦ (форма ТОРГ-2)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Получатель и основание акта</w:t>
      </w:r>
    </w:p>
    <w:p>
      <w:pPr>
        <w:ind w:firstLine="425"/>
      </w:pPr>
      <w:r>
        <w:t xml:space="preserve">АКТ № 17 от 08.09.2026 об установленном расхождении по количеству и качеству при приёмке товарно-материальных ценностей.</w:t>
      </w:r>
    </w:p>
    <w:p>
      <w:pPr>
        <w:ind w:firstLine="425"/>
      </w:pPr>
      <w:r>
        <w:t xml:space="preserve">Унифицированная форма № ТОРГ-2, форма по ОКУД 0330202, утверждена постановлением Госкомстата России от 25.12.1998 № 132. Для товаров, поступивших по импорту, тем же постановлением предусмотрена форма № ТОРГ-3.</w:t>
      </w:r>
    </w:p>
    <w:p>
      <w:pPr>
        <w:ind w:firstLine="425"/>
      </w:pPr>
      <w:r>
        <w:t xml:space="preserve">Получатель: ООО «Северная логистика», код по ОКПО 42318907, вид деятельности оптовая торговля строительными материалами.</w:t>
      </w:r>
    </w:p>
    <w:p>
      <w:pPr>
        <w:ind w:firstLine="425"/>
      </w:pPr>
      <w:r>
        <w:t xml:space="preserve">Адрес: 160009, Вологодская обл., г. Вологда, ул. Клубова, д. 12. Телефон: +7 (8172) 45-11-90.</w:t>
      </w:r>
    </w:p>
    <w:p>
      <w:pPr>
        <w:ind w:firstLine="425"/>
      </w:pPr>
      <w:r>
        <w:t xml:space="preserve">Подразделение, принявшее груз: склад № 2. Место приёмки: склад получателя, г. Вологда, ул. Клубова, д. 12.</w:t>
      </w:r>
    </w:p>
    <w:p>
      <w:pPr>
        <w:ind w:firstLine="425"/>
      </w:pPr>
      <w:r>
        <w:t xml:space="preserve">Основание для приёмки и составления акта: приказ директора от 08.09.2026 № 61 о приёмке партии по договору № 44/26.</w:t>
      </w:r>
    </w:p>
    <w:p>
      <w:pPr>
        <w:ind w:firstLine="425"/>
      </w:pPr>
      <w:r>
        <w:t xml:space="preserve">С 2013 года унифицированные формы не обязательны: организация вправе применять этот бланк без изменений, добавить свои графы или утвердить собственную форму в учётной политике. Обязательным остаётся набор реквизитов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Обстоятельства поставки</w:t>
      </w:r>
    </w:p>
    <w:p>
      <w:pPr>
        <w:ind w:firstLine="425"/>
      </w:pPr>
      <w:r>
        <w:t xml:space="preserve">Груз поступил 07.09.2026 по сопроводительным документам: товарная накладная ТОРГ-12 № 3391 от 04.09.2026, счёт-фактура № 3391 от 04.09.2026.</w:t>
      </w:r>
    </w:p>
    <w:p>
      <w:pPr>
        <w:ind w:firstLine="425"/>
      </w:pPr>
      <w:r>
        <w:t xml:space="preserve">Поставка выполнена по договору: договор поставки № 44/26 от 12.01.2026.</w:t>
      </w:r>
    </w:p>
    <w:p>
      <w:pPr>
        <w:ind w:firstLine="425"/>
      </w:pPr>
      <w:r>
        <w:t xml:space="preserve">Доставка автомобильным транспортом. Транспортное средство: автомобиль Volvo FH, госномер Р 344 ТК 35, полуприцеп-рефрижератор.Доставка железнодорожным транспортом. Вагон, контейнер: автомобиль Volvo FH, госномер Р 344 ТК 35, полуприцеп-рефрижератор.Доставка водным транспортом. Судно, контейнер: автомобиль Volvo FH, госномер Р 344 ТК 35, полуприцеп-рефрижератор.Доставка воздушным транспортом. Рейс, авианакладная: автомобиль Volvo FH, госномер Р 344 ТК 35, полуприцеп-рефрижератор.Груз вывезен силами получателя. Транспортное средство: автомобиль Volvo FH, госномер Р 344 ТК 35, полуприцеп-рефрижератор.</w:t>
      </w:r>
    </w:p>
    <w:p>
      <w:pPr>
        <w:ind w:firstLine="425"/>
      </w:pPr>
      <w:r>
        <w:t xml:space="preserve">Дата отправления груза: 04.09.2026.</w:t>
      </w:r>
    </w:p>
    <w:p>
      <w:pPr>
        <w:ind w:firstLine="425"/>
      </w:pPr>
      <w:r>
        <w:t xml:space="preserve">Грузоотправитель: ООО «Кировский завод стройсмесей», г. Киров, ул. Заводская, д. 3. Производитель: ООО «Кировский завод стройсмесей». Поставщик: ООО «Торговый дом «Строймикс».</w:t>
      </w:r>
    </w:p>
    <w:p>
      <w:pPr>
        <w:ind w:firstLine="425"/>
      </w:pPr>
      <w:r>
        <w:t xml:space="preserve">Перевозчик: ИП Дорохов А. В., договор перевозки № 12-Т от 03.09.2026. Страхование груза: груз застрахован, полис № 77-1904433 от 04.09.2026.</w:t>
      </w:r>
    </w:p>
    <w:p>
      <w:pPr>
        <w:ind w:firstLine="425"/>
      </w:pPr>
      <w:r>
        <w:t xml:space="preserve">Хронология приёмки фиксируется с точностью до минут — по ней потом определяют, в чьей зоне ответственности возникло расхождение и не был ли пропущен срок приёмки, установленный договором (ст. 513 ГК РФ).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07"/>
        <w:gridCol w:w="2066"/>
        <w:gridCol w:w="1377"/>
        <w:gridCol w:w="2983"/>
        <w:gridCol w:w="1606"/>
      </w:tblGrid>
      <w:tr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</w:t>
            </w:r>
          </w:p>
        </w:tc>
        <w:tc>
          <w:tcPr>
            <w:tcW w:w="15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присутствовал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сетку вносят прибытие транспорта, начало и окончание разгрузки, вскрытие тары, перерывы в приёмке и момент выдачи груза. Перерывы указывают отдельно: простой между вскрытием и пересчётом — обычный аргумент поставщика о том, что порча произошла уже у получателя.</w:t>
      </w:r>
    </w:p>
    <w:p>
      <w:pPr>
        <w:pStyle w:val="ClauseHeading"/>
      </w:pPr>
      <w:r>
        <w:rPr>
          <w:b/>
        </w:rPr>
        <w:t xml:space="preserve">Комиссия и вызов представителя отправителя</w:t>
      </w:r>
    </w:p>
    <w:p>
      <w:pPr>
        <w:ind w:firstLine="425"/>
      </w:pPr>
      <w:r>
        <w:t xml:space="preserve">Приёмка проведена комиссией с участием материально ответственного лица Клюев Роман Андреевич, заведующий складом.</w:t>
      </w:r>
    </w:p>
    <w:p>
      <w:pPr>
        <w:ind w:firstLine="425"/>
      </w:pPr>
      <w:r>
        <w:t xml:space="preserve">Со стороны грузоотправителя присутствовал Гончаров Пётр Ильич, полномочия подтверждены документом: доверенность № 219 от 05.09.2026, паспорт 3319 № 447102.Представитель грузоотправителя вызывался, но к началу приёмки не явился, поэтому акт составлен без его участия. Способ и время вызова: телеграмма от 07.09.2026 № 118, продублирована письмом на адрес sklad@stroymix.ru. Копия вызова прилагается к акту.Для участия в приёмке приглашено незаинтересованное лицо Гончаров Пётр Ильич, полномочия и личность подтверждены: доверенность № 219 от 05.09.2026, паспорт 3319 № 447102.</w:t>
      </w:r>
    </w:p>
    <w:p>
      <w:pPr>
        <w:ind w:firstLine="425"/>
      </w:pPr>
      <w:r>
        <w:t xml:space="preserve">Если договор поставки предписывает односторонний порядок приёмки или обязательный вызов представителя, соблюдайте именно договорный порядок: он имеет приоритет над обычаями делового оборота.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410"/>
        <w:gridCol w:w="2209"/>
        <w:gridCol w:w="2811"/>
        <w:gridCol w:w="1606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Комиссию назначают приказом заранее — постоянно действующую или разовую под конкретную поставку. Подписи всех перечисленных лиц обязательны: акт, подписанный одним кладовщиком, поставщик оспорит первым делом.</w:t>
      </w:r>
    </w:p>
    <w:p>
      <w:pPr>
        <w:pStyle w:val="ClauseHeading"/>
      </w:pPr>
      <w:r>
        <w:rPr>
          <w:b/>
        </w:rPr>
        <w:t xml:space="preserve">Состояние тары, пломб и порядок проверки</w:t>
      </w:r>
    </w:p>
    <w:p>
      <w:pPr>
        <w:ind w:firstLine="425"/>
      </w:pPr>
      <w:r>
        <w:t xml:space="preserve">Состояние пломб, ярлыков и маркировки при вскрытии: пломба отправителя № 0455718 на задней двери полуприцепа нарушена: корпус деформирован, оттиск читается частично.</w:t>
      </w:r>
    </w:p>
    <w:p>
      <w:pPr>
        <w:ind w:firstLine="425"/>
      </w:pPr>
      <w:r>
        <w:t xml:space="preserve">Состояние тары и упаковки: 12 бумажных мешков из 240 разорваны по боковому шву, содержимое частично высыпано на пол кузова.</w:t>
      </w:r>
    </w:p>
    <w:p>
      <w:pPr>
        <w:ind w:firstLine="425"/>
      </w:pPr>
      <w:r>
        <w:t xml:space="preserve">Условия перевозки и хранения на момент приёмки: температура в кузове при вскрытии +26 °C, влажность повышенная, следы влаги на полу кузова.</w:t>
      </w:r>
    </w:p>
    <w:p>
      <w:pPr>
        <w:ind w:firstLine="425"/>
      </w:pPr>
      <w:r>
        <w:t xml:space="preserve">Проведена сплошная проверка всей партии.______Проведена выборочная проверка. Основание и объём выборки: пункт 4.3 договора поставки № 44/26: выборка 10 % мест от партии. Результат выборки распространён на всю партию в порядке, установленном договором.</w:t>
      </w:r>
    </w:p>
    <w:p>
      <w:pPr>
        <w:ind w:firstLine="425"/>
      </w:pPr>
      <w:r>
        <w:t xml:space="preserve">Количество определено способом: взвешивание каждого места на весах, пересчёт мест вручную. Применённые приборы и средства измерения: весы платформенные ВПА-600, зав. № 21455, поверка от 14.02.2026.</w:t>
      </w:r>
    </w:p>
    <w:p>
      <w:pPr>
        <w:ind w:firstLine="425"/>
      </w:pPr>
      <w:r>
        <w:t xml:space="preserve">Сведения о поверке весов и приборов вносите обязательно: без них поставщик снимет весь расчёт недостачи ссылкой на неточность измерения.</w:t>
      </w:r>
    </w:p>
    <w:p>
      <w:pPr>
        <w:pStyle w:val="ClauseHeading"/>
      </w:pPr>
      <w:r>
        <w:rPr>
          <w:b/>
        </w:rPr>
        <w:t xml:space="preserve">Позиции, по которым установлено расхождение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956"/>
        <w:gridCol w:w="559"/>
        <w:gridCol w:w="1397"/>
        <w:gridCol w:w="1397"/>
        <w:gridCol w:w="1397"/>
        <w:gridCol w:w="1118"/>
        <w:gridCol w:w="1397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артикул сорт</w:t>
            </w:r>
          </w:p>
        </w:tc>
        <w:tc>
          <w:tcPr>
            <w:tcW w:w="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документам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отклонения</w:t>
            </w: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Общая сумма расхождения: 48750 руб.</w:t>
      </w:r>
    </w:p>
    <w:p>
      <w:pPr>
        <w:ind w:firstLine="425"/>
      </w:pPr>
      <w:r>
        <w:t xml:space="preserve">В том числе в пределах норм естественной убыли: 1120 руб. Эта часть потерь претензии поставщику не порождает и списывается на издержки обращения.</w:t>
      </w:r>
    </w:p>
    <w:p>
      <w:pPr>
        <w:ind w:firstLine="425"/>
      </w:pPr>
      <w:r>
        <w:t xml:space="preserve">Каждое наименование заносят отдельной строкой. Данные графы «По документам» переносят из накладной без округления, графу «Фактически» заполняют по результатам пересчёта или взвешивания в присутствии комиссии.</w:t>
      </w:r>
    </w:p>
    <w:p>
      <w:pPr>
        <w:ind w:firstLine="425"/>
      </w:pPr>
      <w:r>
        <w:t xml:space="preserve">Цену берут ту, что указана в накладной поставщика, а не учётную и не розничную: именно от неё считается сумма требования.</w:t>
      </w:r>
    </w:p>
    <w:p>
      <w:pPr>
        <w:pStyle w:val="ClauseHeading"/>
      </w:pPr>
      <w:r>
        <w:rPr>
          <w:b/>
        </w:rPr>
        <w:t xml:space="preserve">Недостача</w:t>
      </w:r>
    </w:p>
    <w:p>
      <w:pPr>
        <w:ind w:firstLine="425"/>
      </w:pPr>
      <w:r>
        <w:t xml:space="preserve">Установлена недостача: фактическое количество товара меньше указанного в сопроводительных документах.</w:t>
      </w:r>
    </w:p>
    <w:p>
      <w:pPr>
        <w:ind w:firstLine="425"/>
      </w:pPr>
      <w:r>
        <w:t xml:space="preserve">Недостача выявлена в присутствии комиссии до перемещения товара в основную зону хранения и до смешивания с однородными запасами получателя.</w:t>
      </w:r>
    </w:p>
    <w:p>
      <w:pPr>
        <w:ind w:firstLine="425"/>
      </w:pPr>
      <w:r>
        <w:t xml:space="preserve">Товар в недостающей части к бухгалтерскому учёту не принимается и оплате не подлежит. Оплаченная авансом стоимость недостающего товара подлежит возврату или зачёту в счёт следующей поставки.</w:t>
      </w:r>
    </w:p>
    <w:p>
      <w:pPr>
        <w:ind w:firstLine="425"/>
      </w:pPr>
      <w:r>
        <w:t xml:space="preserve">Из общей суммы недостачи вычитается величина, попадающая в нормы естественной убыли, если такие нормы утверждены для данного вида товара. Остаток — предмет требования к поставщику или перевозчику.</w:t>
      </w:r>
    </w:p>
    <w:p>
      <w:pPr>
        <w:pStyle w:val="ClauseHeading"/>
      </w:pPr>
      <w:r>
        <w:rPr>
          <w:b/>
        </w:rPr>
        <w:t xml:space="preserve">Излишек</w:t>
      </w:r>
    </w:p>
    <w:p>
      <w:pPr>
        <w:ind w:firstLine="425"/>
      </w:pPr>
      <w:r>
        <w:t xml:space="preserve">Установлен излишек: фактическое количество товара больше указанного в сопроводительных документах.</w:t>
      </w:r>
    </w:p>
    <w:p>
      <w:pPr>
        <w:ind w:firstLine="425"/>
      </w:pPr>
      <w:r>
        <w:t xml:space="preserve">Излишек принимается получателем на ответственное хранение и в собственность не переходит до получения указаний отправителя.</w:t>
      </w:r>
    </w:p>
    <w:p>
      <w:pPr>
        <w:ind w:firstLine="425"/>
      </w:pPr>
      <w:r>
        <w:t xml:space="preserve">О выявленном излишке получатель незамедлительно уведомляет поставщика и запрашивает его распоряжение: вывезти товар, оформить дополнительную поставку или предъявить документы на отгруженное количество (ст. 514 ГК РФ).</w:t>
      </w:r>
    </w:p>
    <w:p>
      <w:pPr>
        <w:ind w:firstLine="425"/>
      </w:pPr>
      <w:r>
        <w:t xml:space="preserve">Если поставщик не распорядится излишком в разумный срок, получатель вправе реализовать товар или возвратить его за счёт поставщика с отнесением на него расходов по хранению.</w:t>
      </w:r>
    </w:p>
    <w:p>
      <w:pPr>
        <w:ind w:firstLine="425"/>
      </w:pPr>
      <w:r>
        <w:t xml:space="preserve">Хранение чужого товара учитывают за балансом: включение излишка в собственные запасы до оформления документов даёт неучтённый доход и вопросы при проверке.</w:t>
      </w:r>
    </w:p>
    <w:p>
      <w:pPr>
        <w:pStyle w:val="ClauseHeading"/>
      </w:pPr>
      <w:r>
        <w:rPr>
          <w:b/>
        </w:rPr>
        <w:t xml:space="preserve">Брак, бой, порча</w:t>
      </w:r>
    </w:p>
    <w:p>
      <w:pPr>
        <w:ind w:firstLine="425"/>
      </w:pPr>
      <w:r>
        <w:t xml:space="preserve">Установлено несоответствие товара требованиям к качеству.</w:t>
      </w:r>
    </w:p>
    <w:p>
      <w:pPr>
        <w:ind w:firstLine="425"/>
      </w:pPr>
      <w:r>
        <w:t xml:space="preserve">Характер дефекта: смесь слежалась в монолит, при вскрытии мешка не рассыпается, применение по назначению невозможно.</w:t>
      </w:r>
    </w:p>
    <w:p>
      <w:pPr>
        <w:ind w:firstLine="425"/>
      </w:pPr>
      <w:r>
        <w:t xml:space="preserve">Дефект носит явный характер и обнаружен при обычном осмотре в ходе приёмки, поэтому фиксируется настоящим актом без назначения экспертизы.</w:t>
      </w:r>
    </w:p>
    <w:p>
      <w:pPr>
        <w:ind w:firstLine="425"/>
      </w:pPr>
      <w:r>
        <w:t xml:space="preserve">Товар с дефектами помещён отдельно от годного и хранится в неизменном виде до осмотра представителем поставщика или до его письменного отказа от осмотра.</w:t>
      </w:r>
    </w:p>
    <w:p>
      <w:pPr>
        <w:ind w:firstLine="425"/>
      </w:pPr>
      <w:r>
        <w:t xml:space="preserve">При существенном нарушении требований к качеству получатель вправе отказаться от исполнения договора и потребовать возврата уплаченного либо потребовать замены товара (ст. 475 ГК РФ).</w:t>
      </w:r>
    </w:p>
    <w:p>
      <w:pPr>
        <w:ind w:firstLine="425"/>
      </w:pPr>
      <w:r>
        <w:t xml:space="preserve">По договору поставки покупатель, помимо этого, вправе потребовать замены недоброкачественного товара в разумный срок (ст. 518 ГК РФ).</w:t>
      </w:r>
    </w:p>
    <w:p>
      <w:pPr>
        <w:pStyle w:val="ClauseHeading"/>
      </w:pPr>
      <w:r>
        <w:rPr>
          <w:b/>
        </w:rPr>
        <w:t xml:space="preserve">Пересортица</w:t>
      </w:r>
    </w:p>
    <w:p>
      <w:pPr>
        <w:ind w:firstLine="425"/>
      </w:pPr>
      <w:r>
        <w:t xml:space="preserve">Установлено несоответствие ассортимента: поставлен товар другого сорта, артикула или наименования.</w:t>
      </w:r>
    </w:p>
    <w:p>
      <w:pPr>
        <w:ind w:firstLine="425"/>
      </w:pPr>
      <w:r>
        <w:t xml:space="preserve">Что и на что заменено: вместо смеси М-300 в 40 мешках поставлена смесь М-150, маркировка на мешках соответствует М-150.</w:t>
      </w:r>
    </w:p>
    <w:p>
      <w:pPr>
        <w:ind w:firstLine="425"/>
      </w:pPr>
      <w:r>
        <w:t xml:space="preserve">Товар, не соответствующий ассортименту, принят на ответственное хранение и в переработку или продажу не запускается.</w:t>
      </w:r>
    </w:p>
    <w:p>
      <w:pPr>
        <w:ind w:firstLine="425"/>
      </w:pPr>
      <w:r>
        <w:t xml:space="preserve">Автоматический зачёт недостачи одного сорта излишком другого в бухгалтерском учёте не производится: пересортицу закрывают только по решению руководителя и только по товарам одного наименования за один период у одного материально ответственного лица.</w:t>
      </w:r>
    </w:p>
    <w:p>
      <w:pPr>
        <w:pStyle w:val="ClauseHeading"/>
      </w:pPr>
      <w:r>
        <w:rPr>
          <w:b/>
        </w:rPr>
        <w:t xml:space="preserve">Маркировка, срок годности, комплектность</w:t>
      </w:r>
    </w:p>
    <w:p>
      <w:pPr>
        <w:ind w:firstLine="425"/>
      </w:pPr>
      <w:r>
        <w:t xml:space="preserve">Установлено несоответствие маркировки, сроков годности или комплектности поставленного товара.</w:t>
      </w:r>
    </w:p>
    <w:p>
      <w:pPr>
        <w:ind w:firstLine="425"/>
      </w:pPr>
      <w:r>
        <w:t xml:space="preserve">Что именно выявлено: на 60 мешках отсутствует дата изготовления, в 4 паллетах нет паспортов качества.</w:t>
      </w:r>
    </w:p>
    <w:p>
      <w:pPr>
        <w:ind w:firstLine="425"/>
      </w:pPr>
      <w:r>
        <w:t xml:space="preserve">Товар без обязательной маркировки, с истёкшим или недостаточным остаточным сроком годности, а также некомплектный к продаже и к использованию не допускается.</w:t>
      </w:r>
    </w:p>
    <w:p>
      <w:pPr>
        <w:ind w:firstLine="425"/>
      </w:pPr>
      <w:r>
        <w:t xml:space="preserve">Отдельно проверьте товары, подлежащие обязательной маркировке средствами идентификации: приёмка такого товара с несовпадением кодов создаёт нарушение уже не перед поставщиком, а перед контролирующим органом.</w:t>
      </w:r>
    </w:p>
    <w:p>
      <w:pPr>
        <w:pStyle w:val="ClauseHeading"/>
      </w:pPr>
      <w:r>
        <w:rPr>
          <w:b/>
        </w:rPr>
        <w:t xml:space="preserve">Заключение комиссии</w:t>
      </w:r>
    </w:p>
    <w:p>
      <w:pPr>
        <w:ind w:firstLine="425"/>
      </w:pPr>
      <w:r>
        <w:t xml:space="preserve">Заключение комиссии по результатам приёмки: расхождение возникло при перевозке из-за нарушения условий крепления груза; товар на сумму 48 750 руб. к учёту не принимается.</w:t>
      </w:r>
    </w:p>
    <w:p>
      <w:pPr>
        <w:ind w:firstLine="425"/>
      </w:pPr>
      <w:r>
        <w:t xml:space="preserve">Товар до урегулирования разногласий размещён: на ответственное хранение в зону карантина склада № 2, ячейка К-14.</w:t>
      </w:r>
    </w:p>
    <w:p>
      <w:pPr>
        <w:ind w:firstLine="425"/>
      </w:pPr>
      <w:r>
        <w:t xml:space="preserve">Комиссия считает необходимым предъявить претензию поставщику (грузоотправителю) на сумму 48750 руб.Комиссия считает необходимым предъявить претензию перевозчику на сумму 48750 руб.Основания для предъявления претензии отсутствуют: расхождение укладывается в допустимые отклонения или устранено на месте.</w:t>
      </w:r>
    </w:p>
    <w:p>
      <w:pPr>
        <w:ind w:firstLine="425"/>
      </w:pPr>
      <w:r>
        <w:t xml:space="preserve">Приложения к акту: фотографии повреждённых мест — 8 шт., копия транспортной накладной, копия телеграммы о вызове.</w:t>
      </w:r>
    </w:p>
    <w:p>
      <w:pPr>
        <w:ind w:firstLine="425"/>
      </w:pPr>
      <w:r>
        <w:t xml:space="preserve">Акт составлен в четырёх экземплярах: получателю, грузоотправителю (поставщику), перевозчику и в бухгалтерию.</w:t>
      </w:r>
    </w:p>
    <w:p>
      <w:pPr>
        <w:ind w:firstLine="425"/>
      </w:pPr>
      <w:r>
        <w:t xml:space="preserve">Главный бухгалтер: Сомова Наталья Игоревна ________________.</w:t>
      </w:r>
    </w:p>
    <w:p>
      <w:pPr>
        <w:ind w:firstLine="425"/>
      </w:pPr>
      <w:r>
        <w:t xml:space="preserve">Материально ответственное лицо: Клюев Роман Андреевич 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доказательств к акту</w:t>
      </w:r>
    </w:p>
    <w:p>
      <w:pPr>
        <w:ind w:firstLine="425"/>
      </w:pPr>
      <w:r>
        <w:t xml:space="preserve">Опись материалов, приложенных к акту № 17 от 08.09.2026.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066"/>
        <w:gridCol w:w="1836"/>
        <w:gridCol w:w="2295"/>
        <w:gridCol w:w="2754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приложено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зафиксировал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опись вносят фотографии повреждённой тары и пломб, видеозапись разгрузки, копию транспортной накладной с отметкой водителя, копию телеграммы или письма о вызове представителя, распечатки взвешивания, заключение эксперта.</w:t>
      </w:r>
    </w:p>
    <w:p>
      <w:pPr>
        <w:ind w:firstLine="425"/>
      </w:pPr>
      <w:r>
        <w:t xml:space="preserve">Фотографии делайте до перемещения товара, с общим планом кузова и крупным планом дефекта, и сохраняйте оригиналы файлов с датой съёмки — переснятые распечатки в споре весят гораздо меньше.</w:t>
      </w:r>
    </w:p>
    <w:p>
      <w:pPr>
        <w:ind w:firstLine="425"/>
      </w:pPr>
      <w:r>
        <w:t xml:space="preserve">Каждый лист описи подписывают материально ответственное лицо и один из членов комиссии.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об установленном расхождении по количеству и качеству при приёмке ТМЦ (форма ТОРГ-2)» с сайта primadoc.ru. Документ, заполненный под вашу ситуацию, собирается в конструкторе: https://primadoc.ru/doc/akt-ob-ustanovlennom-rashozhdenii-po-kolichestvu-i-kachestvu-pri-priemke-tmc-forma-torg-2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об установленном расхождении по количеству и качеству при приёмке ТМЦ (форма ТОРГ-2) — образец заполнения</dc:title>
  <dc:creator>Примадок</dc:creator>
  <dcterms:created xsi:type="dcterms:W3CDTF">2026-09-12T07:52:48Z</dcterms:created>
</cp:coreProperties>
</file>