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УТВЕРЖДАЮ</w:t>
      </w:r>
    </w:p>
    <w:p>
      <w:pPr>
        <w:jc w:val="left"/>
      </w:pPr>
      <w:r>
        <w:t xml:space="preserve">генеральный директор ООО «Гранит-Трейд»</w:t>
      </w:r>
    </w:p>
    <w:p>
      <w:pPr>
        <w:jc w:val="left"/>
      </w:pPr>
      <w:r>
        <w:t xml:space="preserve">_______________ / Гаврилов Сергей Петрович /</w:t>
      </w:r>
    </w:p>
    <w:p>
      <w:pPr>
        <w:jc w:val="left"/>
      </w:pPr>
      <w:r>
        <w:t xml:space="preserve">17.02.2027</w:t>
      </w:r>
    </w:p>
    <w:p>
      <w:pPr>
        <w:jc w:val="left"/>
      </w:pPr>
      <w:r>
        <w:t xml:space="preserve">АКТ № 2 о выделении к уничтожению документов, не подлежащих хранению</w:t>
      </w:r>
    </w:p>
    <w:p>
      <w:pPr>
        <w:jc w:val="left"/>
      </w:pPr>
      <w:r>
        <w:t xml:space="preserve">ООО «Гранит-Трейд», ИНН 7604125478</w:t>
      </w:r>
    </w:p>
    <w:p>
      <w:pPr>
        <w:jc w:val="left"/>
      </w:pPr>
      <w:r>
        <w:t xml:space="preserve">Структурное подразделение: бухгалтерия</w:t>
      </w:r>
    </w:p>
    <w:p>
      <w:pPr>
        <w:jc w:val="left"/>
      </w:pPr>
      <w:r>
        <w:t xml:space="preserve">Ярославль, 16.02.2027</w:t>
      </w:r>
    </w:p>
    <w:p>
      <w:pPr>
        <w:jc w:val="left"/>
      </w:pPr>
      <w:r>
        <w:t xml:space="preserve">На основании Перечень типовых управленческих архивных документов, утверждённый приказом Росархива от 20.12.2019 № 236 отобраны к уничтожению как не имеющие научно-исторической ценности и утратившие практическое значение документы, включённые в дела по номенклатура дел на 2021 год, утверждённая приказом № 94 от 24.12.2020.</w:t>
      </w:r>
    </w:p>
    <w:p>
      <w:pPr>
        <w:jc w:val="left"/>
      </w:pPr>
      <w:r>
        <w:t xml:space="preserve">Акт рассмотрен на заседании экспертной комиссии, протокол № 1 от 12.02.2027.</w:t>
      </w:r>
    </w:p>
    <w:p>
      <w:pPr>
        <w:pStyle w:val="DocTitle"/>
      </w:pPr>
      <w:r>
        <w:t xml:space="preserve">Акт о выделении к уничтожению документов, не подлежащих хранению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Перечень дел, выделенных к уничтожению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53"/>
        <w:gridCol w:w="2704"/>
        <w:gridCol w:w="1058"/>
        <w:gridCol w:w="1411"/>
        <w:gridCol w:w="705"/>
        <w:gridCol w:w="1763"/>
        <w:gridCol w:w="1646"/>
      </w:tblGrid>
      <w:tr>
        <w:tc>
          <w:tcPr>
            <w:tcW w:w="1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Заголовок дела</w:t>
            </w:r>
          </w:p>
        </w:tc>
        <w:tc>
          <w:tcPr>
            <w:tcW w:w="5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Крайние даты</w:t>
            </w:r>
          </w:p>
        </w:tc>
        <w:tc>
          <w:tcPr>
            <w:tcW w:w="7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Индекс по номенклатуре</w:t>
            </w:r>
          </w:p>
        </w:tc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 дел</w:t>
            </w:r>
          </w:p>
        </w:tc>
        <w:tc>
          <w:tcPr>
            <w:tcW w:w="91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хранения и статья перечня</w:t>
            </w:r>
          </w:p>
        </w:tc>
        <w:tc>
          <w:tcPr>
            <w:tcW w:w="8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c>
          <w:tcPr>
            <w:tcW w:w="183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402" w:type="pct"/>
            <w:vAlign w:val="center"/>
          </w:tcPr>
          <w:p>
            <w:pPr>
              <w:jc w:val="left"/>
              <w:ind w:firstLine="0"/>
            </w:pPr>
            <w:r>
              <w:t xml:space="preserve">Товарные накладные и счета-фактуры поставщиков</w:t>
            </w:r>
          </w:p>
        </w:tc>
        <w:tc>
          <w:tcPr>
            <w:tcW w:w="549" w:type="pct"/>
            <w:vAlign w:val="center"/>
          </w:tcPr>
          <w:p>
            <w:pPr>
              <w:jc w:val="left"/>
              <w:ind w:firstLine="0"/>
            </w:pPr>
            <w:r>
              <w:t xml:space="preserve">2019-2020</w:t>
            </w: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  <w:r>
              <w:t xml:space="preserve">04-17</w:t>
            </w:r>
          </w:p>
        </w:tc>
        <w:tc>
          <w:tcPr>
            <w:tcW w:w="366" w:type="pct"/>
            <w:vAlign w:val="center"/>
          </w:tcPr>
          <w:p>
            <w:pPr>
              <w:jc w:val="left"/>
              <w:ind w:firstLine="0"/>
            </w:pPr>
            <w:r>
              <w:t xml:space="preserve">12</w:t>
            </w:r>
          </w:p>
        </w:tc>
        <w:tc>
          <w:tcPr>
            <w:tcW w:w="915" w:type="pct"/>
            <w:vAlign w:val="center"/>
          </w:tcPr>
          <w:p>
            <w:pPr>
              <w:jc w:val="left"/>
              <w:ind w:firstLine="0"/>
            </w:pPr>
            <w:r>
              <w:t xml:space="preserve">5 лет, ст. 277 Перечня № 236</w:t>
            </w:r>
          </w:p>
        </w:tc>
        <w:tc>
          <w:tcPr>
            <w:tcW w:w="854" w:type="pct"/>
            <w:vAlign w:val="center"/>
          </w:tcPr>
          <w:p>
            <w:pPr>
              <w:jc w:val="left"/>
              <w:ind w:firstLine="0"/>
            </w:pPr>
            <w:r>
              <w:t xml:space="preserve">проверка за период проведена</w:t>
            </w:r>
          </w:p>
        </w:tc>
      </w:tr>
      <w:tr>
        <w:tc>
          <w:tcPr>
            <w:tcW w:w="183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4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83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4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83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4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83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4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83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4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83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4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83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4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1.1. Групповой заголовок допустим, когда дела однородны: «Товарные накладные поставщиков» вместо перечисления каждой папки.</w:t>
      </w:r>
    </w:p>
    <w:p>
      <w:pPr>
        <w:ind w:firstLine="425"/>
      </w:pPr>
      <w:r>
        <w:t xml:space="preserve">1.2. Заголовок «прочие документы» не допускается ни при каких обстоятельствах: по нему невозможно ни проверить срок, ни понять, что уничтожено.</w:t>
      </w:r>
    </w:p>
    <w:p>
      <w:pPr>
        <w:ind w:firstLine="425"/>
      </w:pPr>
      <w:r>
        <w:t xml:space="preserve">1.3. Крайние даты указываются по годам образования документов, а не по датам заведения дел.</w:t>
      </w:r>
    </w:p>
    <w:p>
      <w:pPr>
        <w:ind w:firstLine="425"/>
      </w:pPr>
      <w:r>
        <w:t xml:space="preserve">1.4. Срок хранения приводится со ссылкой на конкретную статью перечня.</w:t>
      </w:r>
    </w:p>
    <w:p>
      <w:pPr>
        <w:ind w:firstLine="425"/>
      </w:pPr>
      <w:r>
        <w:t xml:space="preserve">1.5. Это не формальность: именно по статье проверяющий убеждается, что срок истёк, а не был выбран на глаз.</w:t>
      </w:r>
    </w:p>
    <w:p>
      <w:pPr>
        <w:pStyle w:val="ClauseHeading"/>
      </w:pPr>
      <w:r>
        <w:rPr>
          <w:b/>
        </w:rPr>
        <w:t xml:space="preserve">2. Когда дело можно включить в акт</w:t>
      </w:r>
    </w:p>
    <w:p>
      <w:pPr>
        <w:ind w:firstLine="425"/>
      </w:pPr>
      <w:r>
        <w:t xml:space="preserve">2.1. Срок хранения дела истёк к 1 января года, в котором составляется акт.</w:t>
      </w:r>
    </w:p>
    <w:p>
      <w:pPr>
        <w:ind w:firstLine="425"/>
      </w:pPr>
      <w:r>
        <w:t xml:space="preserve">2.2. Дело, срок хранения которого истекает в текущем году, включать нельзя: придётся ждать следующего января.</w:t>
      </w:r>
    </w:p>
    <w:p>
      <w:pPr>
        <w:ind w:firstLine="425"/>
      </w:pPr>
      <w:r>
        <w:t xml:space="preserve">2.3. Отсчёт срока начинается с 1 января года, следующего за годом окончания дела в делопроизводстве, а не с даты последнего документа в папке.</w:t>
      </w:r>
    </w:p>
    <w:p>
      <w:pPr>
        <w:ind w:firstLine="425"/>
      </w:pPr>
      <w:r>
        <w:t xml:space="preserve">2.4. По документам бухгалтерского учёта срок хранения составляет не менее пяти лет после отчётного года, а по документам налогового учёта отсчёт ведётся от периода, в котором они использовались в последний раз (ст. 29 402-ФЗ).</w:t>
      </w:r>
    </w:p>
    <w:p>
      <w:pPr>
        <w:ind w:firstLine="425"/>
      </w:pPr>
      <w:r>
        <w:t xml:space="preserve">2.5. Для убытка, перенесённого на будущее, срок фактически продлевается на весь период переноса: документы, подтверждающие убыток, нужны до конца его списания.</w:t>
      </w:r>
    </w:p>
    <w:p>
      <w:pPr>
        <w:ind w:firstLine="425"/>
      </w:pPr>
      <w:r>
        <w:t xml:space="preserve">2.6. Проверка (ревизия, налоговая проверка) за соответствующий период должна быть завершена, а выявленные по её результатам споры — разрешены.</w:t>
      </w:r>
    </w:p>
    <w:p>
      <w:pPr>
        <w:ind w:firstLine="425"/>
      </w:pPr>
      <w:r>
        <w:t xml:space="preserve">2.7. Уничтожение документов по периоду, который находится в стадии проверки или судебного спора, недопустимо независимо от истечения срока.</w:t>
      </w:r>
    </w:p>
    <w:p>
      <w:pPr>
        <w:ind w:firstLine="425"/>
      </w:pPr>
      <w:r>
        <w:t xml:space="preserve">2.8. Дела, по которым срок хранения исчисляется условием «до минования надобности» или «до замены новыми», включаются в акт только после наступления этого условия, подтверждённого документально.</w:t>
      </w:r>
    </w:p>
    <w:p>
      <w:pPr>
        <w:pStyle w:val="ClauseHeading"/>
      </w:pPr>
      <w:r>
        <w:rPr>
          <w:b/>
        </w:rPr>
        <w:t xml:space="preserve">3. Экспертная комиссия и порядок рассмотрения акта</w:t>
      </w:r>
    </w:p>
    <w:p>
      <w:pPr>
        <w:ind w:firstLine="425"/>
      </w:pPr>
      <w:r>
        <w:t xml:space="preserve">3.1. Проект акта составляет работник, отвечающий за делопроизводство или архив, на основе предложений структурных подразделений.</w:t>
      </w:r>
    </w:p>
    <w:p>
      <w:pPr>
        <w:ind w:firstLine="425"/>
      </w:pPr>
      <w:r>
        <w:t xml:space="preserve">3.2. Акт рассматривается на заседании экспертной комиссии одновременно с описями дел постоянного хранения и дел по личному составу за тот же период: описи № 1 и № 2 за 2019-2020 годы, протокол ЭК № 1 от 12.02.2027. Порядок именно такой — сначала выделяется то, что хранится, и только потом уничтожается остальное.</w:t>
      </w:r>
    </w:p>
    <w:p>
      <w:pPr>
        <w:ind w:firstLine="425"/>
      </w:pPr>
      <w:r>
        <w:t xml:space="preserve">3.3. Акт, рассмотренный в отрыве от описей, порочен по процедуре.</w:t>
      </w:r>
    </w:p>
    <w:p>
      <w:pPr>
        <w:ind w:firstLine="425"/>
      </w:pPr>
      <w:r>
        <w:t xml:space="preserve">3.4. Состав экспертной комиссии закрепляется приказом руководителя.</w:t>
      </w:r>
    </w:p>
    <w:p>
      <w:pPr>
        <w:ind w:firstLine="425"/>
      </w:pPr>
      <w:r>
        <w:t xml:space="preserve">3.5. Председатель комиссии: заместитель директора Наумова Елена Борисовна.</w:t>
      </w:r>
    </w:p>
    <w:p>
      <w:pPr>
        <w:ind w:firstLine="425"/>
      </w:pPr>
      <w:r>
        <w:t xml:space="preserve">3.6. Члены комиссии:</w:t>
      </w:r>
    </w:p>
    <w:p>
      <w:pPr>
        <w:ind w:firstLine="425"/>
      </w:pPr>
      <w:r>
        <w:t xml:space="preserve">3.7. ______. ______ — ______</w:t>
      </w:r>
    </w:p>
    <w:p>
      <w:pPr>
        <w:ind w:firstLine="425"/>
      </w:pPr>
      <w:r>
        <w:t xml:space="preserve">3.8. Решение комиссии оформляется протоколом № 1 от 12.02.2027, на который акт ссылается.</w:t>
      </w:r>
    </w:p>
    <w:p>
      <w:pPr>
        <w:pStyle w:val="ClauseHeading"/>
      </w:pPr>
      <w:r>
        <w:rPr>
          <w:b/>
        </w:rPr>
        <w:t xml:space="preserve">4. Утверждение акта: организация не сдаёт документы в архив</w:t>
      </w:r>
    </w:p>
    <w:p>
      <w:pPr>
        <w:ind w:firstLine="425"/>
      </w:pPr>
      <w:r>
        <w:t xml:space="preserve">4.1. Акт утверждает руководитель организации после рассмотрения экспертной комиссией.</w:t>
      </w:r>
    </w:p>
    <w:p>
      <w:pPr>
        <w:ind w:firstLine="425"/>
      </w:pPr>
      <w:r>
        <w:t xml:space="preserve">4.2. Согласование с государственным или муниципальным архивом не требуется.</w:t>
      </w:r>
    </w:p>
    <w:p>
      <w:pPr>
        <w:ind w:firstLine="425"/>
      </w:pPr>
      <w:r>
        <w:t xml:space="preserve">4.3. Ответственность за правильность отбора при этом целиком на организации: никто со стороны не проверит, не попали ли в акт документы, которые надо было сохранить.</w:t>
      </w:r>
    </w:p>
    <w:p>
      <w:pPr>
        <w:ind w:firstLine="425"/>
      </w:pPr>
      <w:r>
        <w:t xml:space="preserve">4.4. Поэтому проект акта имеет смысл сверять с номенклатурой дел позиция за позицией.</w:t>
      </w:r>
    </w:p>
    <w:p>
      <w:pPr>
        <w:ind w:firstLine="425"/>
      </w:pPr>
      <w:r>
        <w:t xml:space="preserve">4.5. Утверждённый акт хранится постоянно вместе с описями дел и номенклатурами: это единственное доказательство законности уничтожения, и по нему через годы объясняют, почему запрошенных документов нет.</w:t>
      </w:r>
    </w:p>
    <w:p>
      <w:pPr>
        <w:pStyle w:val="ClauseHeading"/>
      </w:pPr>
      <w:r>
        <w:rPr>
          <w:b/>
        </w:rPr>
        <w:t xml:space="preserve">5. Утверждение акта: организация — источник комплектования архива</w:t>
      </w:r>
    </w:p>
    <w:p>
      <w:pPr>
        <w:ind w:firstLine="425"/>
      </w:pPr>
      <w:r>
        <w:t xml:space="preserve">5.1. Уничтожение документов допускается только после согласования акта с экспертно-проверочной комиссией архивного учреждения и утверждения описей дел постоянного хранения.</w:t>
      </w:r>
    </w:p>
    <w:p>
      <w:pPr>
        <w:ind w:firstLine="425"/>
      </w:pPr>
      <w:r>
        <w:t xml:space="preserve">5.2. Реквизиты согласования: протокол ЭПК от 20.02.2027 № 3.</w:t>
      </w:r>
    </w:p>
    <w:p>
      <w:pPr>
        <w:ind w:firstLine="425"/>
      </w:pPr>
      <w:r>
        <w:t xml:space="preserve">5.3. Последовательность нарушать нельзя: сначала архивное учреждение утверждает описи дел постоянного хранения и согласовывает описи по личному составу, затем согласуется акт о выделении к уничтожению, и только после этого руководитель утверждает акт и документы уничтожаются.</w:t>
      </w:r>
    </w:p>
    <w:p>
      <w:pPr>
        <w:ind w:firstLine="425"/>
      </w:pPr>
      <w:r>
        <w:t xml:space="preserve">5.4. Уничтожение до получения согласования — нарушение правил работы архивов организации, за которое отвечает должностное лицо, а утраченные документы восстановить будет нечем.</w:t>
      </w:r>
    </w:p>
    <w:p>
      <w:pPr>
        <w:pStyle w:val="ClauseHeading"/>
      </w:pPr>
      <w:r>
        <w:rPr>
          <w:b/>
        </w:rPr>
        <w:t xml:space="preserve">6. Уничтожение силами организации</w:t>
      </w:r>
    </w:p>
    <w:p>
      <w:pPr>
        <w:ind w:firstLine="425"/>
      </w:pPr>
      <w:r>
        <w:t xml:space="preserve">6.1. Документы уничтожаются механическим измельчением (шредированием) способом, исключающим возможность восстановления их содержания.</w:t>
      </w:r>
    </w:p>
    <w:p>
      <w:pPr>
        <w:ind w:firstLine="425"/>
      </w:pPr>
      <w:r>
        <w:t xml:space="preserve">6.2. Уничтожение проводится в присутствии не менее двух работников, обычно членов экспертной комиссии, которые подписывают отметку об уничтожении.</w:t>
      </w:r>
    </w:p>
    <w:p>
      <w:pPr>
        <w:ind w:firstLine="425"/>
      </w:pPr>
      <w:r>
        <w:t xml:space="preserve">6.3. Дата фактического уничтожения: 24.02.2027. Объём: 148 кг.</w:t>
      </w:r>
    </w:p>
    <w:p>
      <w:pPr>
        <w:ind w:firstLine="425"/>
      </w:pPr>
      <w:r>
        <w:t xml:space="preserve">6.4. Обрезки от шредера, из которых текст читается (широкая продольная резка), уничтожением не считаются, если документы содержали сведения ограниченного доступа.</w:t>
      </w:r>
    </w:p>
    <w:p>
      <w:pPr>
        <w:pStyle w:val="ClauseHeading"/>
      </w:pPr>
      <w:r>
        <w:rPr>
          <w:b/>
        </w:rPr>
        <w:t xml:space="preserve">7. Передача на утилизацию специализированной организации</w:t>
      </w:r>
    </w:p>
    <w:p>
      <w:pPr>
        <w:ind w:firstLine="425"/>
      </w:pPr>
      <w:r>
        <w:t xml:space="preserve">7.1. Документы передаются на утилизацию по договору: ООО «ВторБумПром», приёмо-сдаточная накладная № 512 от 24.02.2027.</w:t>
      </w:r>
    </w:p>
    <w:p>
      <w:pPr>
        <w:ind w:firstLine="425"/>
      </w:pPr>
      <w:r>
        <w:t xml:space="preserve">7.2. Передача оформляется приёмо-сдаточной накладной с указанием веса или объёма.</w:t>
      </w:r>
    </w:p>
    <w:p>
      <w:pPr>
        <w:ind w:firstLine="425"/>
      </w:pPr>
      <w:r>
        <w:t xml:space="preserve">7.3. Эта накладная прикладывается к акту и подтверждает фактическое уничтожение.</w:t>
      </w:r>
    </w:p>
    <w:p>
      <w:pPr>
        <w:ind w:firstLine="425"/>
      </w:pPr>
      <w:r>
        <w:t xml:space="preserve">7.4. Дата передачи: 24.02.2027. Объём: 148 кг.</w:t>
      </w:r>
    </w:p>
    <w:p>
      <w:pPr>
        <w:ind w:firstLine="425"/>
      </w:pPr>
      <w:r>
        <w:t xml:space="preserve">7.5. Если документы содержат персональные данные или коммерческую тайну, в договоре с утилизатором фиксируется обязанность уничтожить их способом, исключающим восстановление, и право представителя организации присутствовать при уничтожении.</w:t>
      </w:r>
    </w:p>
    <w:p>
      <w:pPr>
        <w:ind w:firstLine="425"/>
      </w:pPr>
      <w:r>
        <w:t xml:space="preserve">7.6. Простая сдача макулатуры в этом случае недопустима: организация остаётся ответственной за сведения до момента их фактического уничтожения.</w:t>
      </w:r>
    </w:p>
    <w:p>
      <w:pPr>
        <w:pStyle w:val="ClauseHeading"/>
      </w:pPr>
      <w:r>
        <w:rPr>
          <w:b/>
        </w:rPr>
        <w:t xml:space="preserve">8. Уничтожение сжиганием</w:t>
      </w:r>
    </w:p>
    <w:p>
      <w:pPr>
        <w:ind w:firstLine="425"/>
      </w:pPr>
      <w:r>
        <w:t xml:space="preserve">8.1. Документы уничтожаются сжиганием в присутствии не менее двух работников организации.</w:t>
      </w:r>
    </w:p>
    <w:p>
      <w:pPr>
        <w:ind w:firstLine="425"/>
      </w:pPr>
      <w:r>
        <w:t xml:space="preserve">8.2. Дата уничтожения: 24.02.2027. Объём: 148 кг.</w:t>
      </w:r>
    </w:p>
    <w:p>
      <w:pPr>
        <w:ind w:firstLine="425"/>
      </w:pPr>
      <w:r>
        <w:t xml:space="preserve">8.3. Сжигание проводится в местах и способом, допустимых по требованиям пожарной безопасности и охраны окружающей среды.</w:t>
      </w:r>
    </w:p>
    <w:p>
      <w:pPr>
        <w:ind w:firstLine="425"/>
      </w:pPr>
      <w:r>
        <w:t xml:space="preserve">8.4. Костёр на территории организации почти всегда нарушает и то, и другое, поэтому на практике этот способ применяют редко и только через специализированную площадку.</w:t>
      </w:r>
    </w:p>
    <w:p>
      <w:pPr>
        <w:pStyle w:val="ClauseHeading"/>
      </w:pPr>
      <w:r>
        <w:rPr>
          <w:b/>
        </w:rPr>
        <w:t xml:space="preserve">9. Подписи</w:t>
      </w:r>
    </w:p>
    <w:p>
      <w:pPr>
        <w:ind w:firstLine="425"/>
      </w:pPr>
      <w:r>
        <w:t xml:space="preserve">9.1. Акт составил: специалист по делопроизводству _______________ / Ефимова Марина Олеговна /</w:t>
      </w:r>
    </w:p>
    <w:p>
      <w:pPr>
        <w:ind w:firstLine="425"/>
      </w:pPr>
      <w:r>
        <w:t xml:space="preserve">9.2. Председатель экспертной комиссии: заместитель директора _______________ / Наумова Елена Борисовна /</w:t>
      </w:r>
    </w:p>
    <w:p>
      <w:pPr>
        <w:ind w:firstLine="425"/>
      </w:pPr>
      <w:r>
        <w:t xml:space="preserve">9.3. Члены экспертной комиссии:</w:t>
      </w:r>
    </w:p>
    <w:p>
      <w:pPr>
        <w:ind w:firstLine="425"/>
      </w:pPr>
      <w:r>
        <w:t xml:space="preserve">9.4. ______ _______________ / ______ /</w:t>
      </w:r>
    </w:p>
    <w:p>
      <w:pPr>
        <w:ind w:firstLine="425"/>
      </w:pPr>
      <w:r>
        <w:t xml:space="preserve">9.5. Итого по акту выделено к уничтожению дел: ____________ за 16.02.2027.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Приложение 1. Отметка о фактическом уничтожении документов</w:t>
      </w:r>
    </w:p>
    <w:p>
      <w:pPr>
        <w:ind w:firstLine="425"/>
      </w:pPr>
      <w:r>
        <w:t xml:space="preserve">Документы, перечисленные в акте, уничтожены 24.02.2027 способом: Механическое измельчение (шредирование) силами организации.</w:t>
      </w:r>
    </w:p>
    <w:p>
      <w:pPr>
        <w:ind w:firstLine="425"/>
      </w:pPr>
      <w:r>
        <w:t xml:space="preserve">Объём уничтоженных документов: 148 кг.</w:t>
      </w:r>
    </w:p>
    <w:p>
      <w:pPr>
        <w:ind w:firstLine="425"/>
      </w:pPr>
      <w:r>
        <w:t xml:space="preserve">Уничтожение произведено в присутствии: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615"/>
        <w:gridCol w:w="3615"/>
        <w:gridCol w:w="2410"/>
      </w:tblGrid>
      <w:tr>
        <w:tc>
          <w:tcPr>
            <w:tcW w:w="18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8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1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Подтверждающий документ (приёмо-сдаточная накладная, акт утилизатора): ______________________________</w:t>
      </w:r>
    </w:p>
    <w:p>
      <w:pPr>
        <w:ind w:firstLine="425"/>
      </w:pPr>
      <w:r>
        <w:t xml:space="preserve">Отметки о выбытии дел внесены в номенклатуру дел и учётные документы архива: _______________ / ____________________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Приложение 2. Бланк описи дел для заполнения от руки</w:t>
      </w:r>
    </w:p>
    <w:p>
      <w:pPr>
        <w:ind w:firstLine="425"/>
      </w:pPr>
      <w:r>
        <w:t xml:space="preserve">Бланк используется при отборе дел в архиве, когда список собирается с полки, а не из номенклатуры.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74"/>
        <w:gridCol w:w="1422"/>
        <w:gridCol w:w="1106"/>
        <w:gridCol w:w="1896"/>
        <w:gridCol w:w="948"/>
        <w:gridCol w:w="2370"/>
        <w:gridCol w:w="1422"/>
      </w:tblGrid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Заголовок дела</w:t>
            </w:r>
          </w:p>
        </w:tc>
        <w:tc>
          <w:tcPr>
            <w:tcW w:w="57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Крайние даты</w:t>
            </w:r>
          </w:p>
        </w:tc>
        <w:tc>
          <w:tcPr>
            <w:tcW w:w="9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Индекс по номенклатуре</w:t>
            </w:r>
          </w:p>
        </w:tc>
        <w:tc>
          <w:tcPr>
            <w:tcW w:w="4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 дел</w:t>
            </w:r>
          </w:p>
        </w:tc>
        <w:tc>
          <w:tcPr>
            <w:tcW w:w="123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хранения и статья перечня</w:t>
            </w:r>
          </w:p>
        </w:tc>
        <w:tc>
          <w:tcPr>
            <w:tcW w:w="7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проверке</w:t>
            </w: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Отбор произвёл: _______________ / ____________________ /</w:t>
      </w:r>
    </w:p>
    <w:p>
      <w:pPr>
        <w:ind w:firstLine="425"/>
      </w:pPr>
      <w:r>
        <w:t xml:space="preserve">Проверил председатель экспертной комиссии: _______________ / ____________________ /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«Акт о выделении к уничтожению документов, не подлежащих хранению» с сайта primadoc.ru. Документ, заполненный под вашу ситуацию, собирается в конструкторе: https://primadoc.ru/doc/akt-o-vydelenii-k-unichtozheniyu-dokumentov-ne-podlezhaschih-hraneniyu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2"/>
        <w:szCs w:val="22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2"/>
    </w:rPr>
  </w:style>
  <w:style w:type="paragraph" w:styleId="ClauseHeading">
    <w:name w:val="Clause Heading"/>
    <w:pPr>
      <w:jc w:val="left"/>
      <w:spacing w:before="120" w:after="40"/>
    </w:pPr>
    <w:rPr>
      <w:b/>
      <w:sz w:val="22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о выделении к уничтожению документов, не подлежащих хранению — образец заполнения</dc:title>
  <dc:creator>Примадок</dc:creator>
  <dcterms:created xsi:type="dcterms:W3CDTF">2026-09-12T08:02:35Z</dcterms:created>
</cp:coreProperties>
</file>