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 о возврате товарно-материальных ценностей, сданных на хранение (форма № МХ-3)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Стороны, основание и место хранения</w:t>
      </w:r>
    </w:p>
    <w:p>
      <w:pPr>
        <w:ind w:firstLine="425"/>
      </w:pPr>
      <w:r>
        <w:t xml:space="preserve">1.1. АКТ № ______ от ______ о возврате товарно-материальных ценностей, сданных на хранение.</w:t>
      </w:r>
    </w:p>
    <w:p>
      <w:pPr>
        <w:ind w:firstLine="425"/>
      </w:pPr>
      <w:r>
        <w:t xml:space="preserve">1.2. Унифицированная форма № МХ-3, форма по ОКУД 0335003, утверждена постановлением Госкомстата России от 09.08.1999 № 66. Тем же постановлением введены форма № МХ-1 — акт о приёме-передаче ТМЦ на хранение и форма № МХ-2 — журнал учёта ТМЦ, сданных на хранение.</w:t>
      </w:r>
    </w:p>
    <w:p>
      <w:pPr>
        <w:ind w:firstLine="425"/>
      </w:pPr>
      <w:r>
        <w:t xml:space="preserve">1.3. Хранитель: ______, код по ОКПО ______, адрес ______.</w:t>
      </w:r>
    </w:p>
    <w:p>
      <w:pPr>
        <w:ind w:firstLine="425"/>
      </w:pPr>
      <w:r>
        <w:t xml:space="preserve">1.4. Поклажедатель: ______, ИНН ______, адрес ______.</w:t>
      </w:r>
    </w:p>
    <w:p>
      <w:pPr>
        <w:ind w:firstLine="425"/>
      </w:pPr>
      <w:r>
        <w:t xml:space="preserve">1.5. Место хранения: ______.</w:t>
      </w:r>
    </w:p>
    <w:p>
      <w:pPr>
        <w:ind w:firstLine="425"/>
      </w:pPr>
      <w:r>
        <w:t xml:space="preserve">1.6. Основание: ______.</w:t>
      </w:r>
    </w:p>
    <w:p>
      <w:pPr>
        <w:ind w:firstLine="425"/>
      </w:pPr>
      <w:r>
        <w:t xml:space="preserve">1.7. Ценности были приняты на хранение по документу ______ ______.</w:t>
      </w:r>
    </w:p>
    <w:p>
      <w:pPr>
        <w:ind w:firstLine="425"/>
      </w:pPr>
      <w:r>
        <w:t xml:space="preserve">1.8. Применять унифицированную форму с 2013 года не обязательно: можно взять этот бланк, дополнить его или утвердить свою форму в учётной политике.</w:t>
      </w:r>
    </w:p>
    <w:p>
      <w:pPr>
        <w:ind w:firstLine="425"/>
      </w:pPr>
      <w:r>
        <w:t xml:space="preserve">1.9. Обязателен набор реквизитов первичного учётного документа (ст. 9 402-ФЗ).</w:t>
      </w:r>
    </w:p>
    <w:p>
      <w:pPr>
        <w:pStyle w:val="ClauseHeading"/>
      </w:pPr>
      <w:r>
        <w:rPr>
          <w:b/>
        </w:rPr>
        <w:t xml:space="preserve">2. Основание и объём возврата</w:t>
      </w:r>
    </w:p>
    <w:p>
      <w:pPr>
        <w:ind w:firstLine="425"/>
      </w:pPr>
      <w:r>
        <w:t xml:space="preserve">2.1. Возврат произведён ______.</w:t>
      </w:r>
    </w:p>
    <w:p>
      <w:pPr>
        <w:ind w:firstLine="425"/>
      </w:pPr>
      <w:r>
        <w:t xml:space="preserve">2.2. Фактический срок хранения составил ______ ______.</w:t>
      </w:r>
    </w:p>
    <w:p>
      <w:pPr>
        <w:ind w:firstLine="425"/>
      </w:pPr>
      <w:r>
        <w:t xml:space="preserve">2.3. Возврат по истечении срока хранения, установленного договором.</w:t>
      </w:r>
    </w:p>
    <w:p>
      <w:pPr>
        <w:ind w:firstLine="425"/>
      </w:pPr>
      <w:r>
        <w:t xml:space="preserve">2.4. Хранитель обязан вернуть вещь поклажедателю в том состоянии, в каком она была принята, с учётом естественного ухудшения и естественной убыли (ст. 900 ГК РФ).Возврат по досрочному требованию поклажедателя.</w:t>
      </w:r>
    </w:p>
    <w:p>
      <w:pPr>
        <w:ind w:firstLine="425"/>
      </w:pPr>
      <w:r>
        <w:t xml:space="preserve">2.5. Хранитель обязан вернуть вещь по первому требованию, даже если предусмотренный договором срок хранения ещё не окончился (ст. 904 ГК РФ).</w:t>
      </w:r>
    </w:p>
    <w:p>
      <w:pPr>
        <w:ind w:firstLine="425"/>
      </w:pPr>
      <w:r>
        <w:t xml:space="preserve">2.6. Досрочное востребование не освобождает поклажедателя от оплаты фактического периода хранения на условиях договора.Возврат по требованию хранителя забрать вещь.</w:t>
      </w:r>
    </w:p>
    <w:p>
      <w:pPr>
        <w:ind w:firstLine="425"/>
      </w:pPr>
      <w:r>
        <w:t xml:space="preserve">2.7. По истечении обусловленного срока хранения поклажедатель обязан немедленно забрать вещь, а при бессрочном хранении — по требованию хранителя в предоставленный им разумный срок (ст. 899 ГК РФ).</w:t>
      </w:r>
    </w:p>
    <w:p>
      <w:pPr>
        <w:ind w:firstLine="425"/>
      </w:pPr>
      <w:r>
        <w:t xml:space="preserve">2.8. Требование было направлено поклажедателю заблаговременно.Возврат в связи с расторжением договора хранения по соглашению сторон.</w:t>
      </w:r>
    </w:p>
    <w:p>
      <w:pPr>
        <w:ind w:firstLine="425"/>
      </w:pPr>
      <w:r>
        <w:t xml:space="preserve">2.9. Расчёты между сторонами завершаются настоящим актом.</w:t>
      </w:r>
    </w:p>
    <w:p>
      <w:pPr>
        <w:ind w:firstLine="425"/>
      </w:pPr>
      <w:r>
        <w:t xml:space="preserve">2.10. Возвращается весь объём ценностей, принятых на хранение.</w:t>
      </w:r>
    </w:p>
    <w:p>
      <w:pPr>
        <w:ind w:firstLine="425"/>
      </w:pPr>
      <w:r>
        <w:t xml:space="preserve">2.11. Обязательство хранения исполнено и прекращается с даты подписания настоящего акта.Возвращается часть ценностей.</w:t>
      </w:r>
    </w:p>
    <w:p>
      <w:pPr>
        <w:ind w:firstLine="425"/>
      </w:pPr>
      <w:r>
        <w:t xml:space="preserve">2.12. Оставшаяся часть продолжает храниться на прежних условиях, ответственность хранителя за неё сохраняется, а расчёт за хранение по остатку производится в следующем периоде.</w:t>
      </w:r>
    </w:p>
    <w:p>
      <w:pPr>
        <w:ind w:firstLine="425"/>
      </w:pPr>
      <w:r>
        <w:t xml:space="preserve">2.13. Ценности получил ______, полномочия подтверждены документом: ______.</w:t>
      </w:r>
    </w:p>
    <w:p>
      <w:pPr>
        <w:ind w:firstLine="425"/>
      </w:pPr>
      <w:r>
        <w:t xml:space="preserve">2.14. Выдача ценностей лицу без подтверждённых полномочий не освобождает хранителя от ответственности перед владельцем.</w:t>
      </w:r>
    </w:p>
    <w:p>
      <w:pPr>
        <w:pStyle w:val="ClauseHeading"/>
      </w:pPr>
      <w:r>
        <w:rPr>
          <w:b/>
        </w:rPr>
        <w:t xml:space="preserve">3. Перечень возвращаемых ценностей</w:t>
      </w:r>
    </w:p>
    <w:p>
      <w:pPr>
        <w:ind w:firstLine="425"/>
      </w:pPr>
      <w:r>
        <w:t xml:space="preserve">3.1. Хранитель сдал, а представитель поклажедателя принял следующие ценности.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01"/>
        <w:gridCol w:w="5670"/>
        <w:gridCol w:w="2268"/>
      </w:tblGrid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9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</w:t>
            </w: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Общая стоимость возвращаемых ценностей: ______.</w:t>
      </w:r>
    </w:p>
    <w:p>
      <w:pPr>
        <w:ind w:firstLine="425"/>
      </w:pPr>
      <w:r>
        <w:t xml:space="preserve">3.3. Тара, упаковка и пломбы при возврате: ______.</w:t>
      </w:r>
    </w:p>
    <w:p>
      <w:pPr>
        <w:ind w:firstLine="425"/>
      </w:pPr>
      <w:r>
        <w:t xml:space="preserve">3.4. Обе стороны имеют право требовать осмотра ценностей и проверки их количества при возвращении, а расходы на такую проверку несёт тот, кто её потребовал (ст. 911 ГК РФ).</w:t>
      </w:r>
    </w:p>
    <w:p>
      <w:pPr>
        <w:ind w:firstLine="425"/>
      </w:pPr>
      <w:r>
        <w:t xml:space="preserve">3.5. Проверяйте не выборочно, а по позициям, которые указаны в акте: пересчёт «на глаз» и подпись под словами «претензий не имею» стоят потом ровно столько, сколько написано.</w:t>
      </w:r>
    </w:p>
    <w:p>
      <w:pPr>
        <w:pStyle w:val="ClauseHeading"/>
      </w:pPr>
      <w:r>
        <w:rPr>
          <w:b/>
        </w:rPr>
        <w:t xml:space="preserve">4. Подписи и экземпляры</w:t>
      </w:r>
    </w:p>
    <w:p>
      <w:pPr>
        <w:ind w:firstLine="425"/>
      </w:pPr>
      <w:r>
        <w:t xml:space="preserve">4.1. Ценности сдал от имени хранителя: ______ ______ ________________</w:t>
      </w:r>
    </w:p>
    <w:p>
      <w:pPr>
        <w:ind w:firstLine="425"/>
      </w:pPr>
      <w:r>
        <w:t xml:space="preserve">4.2. Ценности принял от имени поклажедателя: ______ ________________, ______</w:t>
      </w:r>
    </w:p>
    <w:p>
      <w:pPr>
        <w:ind w:firstLine="425"/>
      </w:pPr>
      <w:r>
        <w:t xml:space="preserve">4.3. Руководитель хранителя: ______ ______ ________________</w:t>
      </w:r>
    </w:p>
    <w:p>
      <w:pPr>
        <w:ind w:firstLine="425"/>
      </w:pPr>
      <w:r>
        <w:t xml:space="preserve">4.4. Акт составлен в двух экземплярах, имеющих равную силу: первый остаётся у хранителя, второй передаётся поклажедателю.</w:t>
      </w:r>
    </w:p>
    <w:p>
      <w:pPr>
        <w:ind w:firstLine="425"/>
      </w:pPr>
      <w:r>
        <w:t xml:space="preserve">4.5. Документ оформляют в момент фактической передачи ценностей либо непосредственно после неё (ст. 9 402-ФЗ).</w:t>
      </w:r>
    </w:p>
    <w:p>
      <w:pPr>
        <w:ind w:firstLine="425"/>
      </w:pPr>
      <w:r>
        <w:t xml:space="preserve">4.6. Акт, подписанный «задним числом», не подтверждает ни дату прекращения ответственности хранителя, ни срок, за который начислена плата.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Ведомость расхождений при возврате</w:t>
      </w:r>
    </w:p>
    <w:p>
      <w:pPr>
        <w:ind w:firstLine="425"/>
      </w:pPr>
      <w:r>
        <w:t xml:space="preserve">Ведомость к акту № ______ от ______ по договору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327"/>
        <w:gridCol w:w="1163"/>
        <w:gridCol w:w="1662"/>
        <w:gridCol w:w="1828"/>
        <w:gridCol w:w="1330"/>
        <w:gridCol w:w="831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акту приёма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</w:t>
            </w:r>
          </w:p>
        </w:tc>
        <w:tc>
          <w:tcPr>
            <w:tcW w:w="9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Расхождение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</w:t>
            </w:r>
          </w:p>
        </w:tc>
        <w:tc>
          <w:tcPr>
            <w:tcW w:w="4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Ведомость заполняют, когда при возврате выявлены недостача, бой, порча, намокание или иное ухудшение. Характер расхождения формулируют конкретно: «намокание нижнего ряда, содержимое комковатое» вместо «товар испорчен».</w:t>
      </w:r>
    </w:p>
    <w:p>
      <w:pPr>
        <w:ind w:firstLine="425"/>
      </w:pPr>
      <w:r>
        <w:t xml:space="preserve">Сумму считают по стоимости, указанной в акте приёма на хранение, а при её отсутствии — по цене приобретения, подтверждённой документами поклажедателя.</w:t>
      </w:r>
    </w:p>
    <w:p>
      <w:pPr>
        <w:ind w:firstLine="425"/>
      </w:pPr>
      <w:r>
        <w:t xml:space="preserve">Ведомость подписывают оба представителя. Подпись получателя под расхождениями — не признание вины хранителя, а фиксация факта; спор о причине решается отдельно.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Расписка о получении ценностей</w:t>
      </w:r>
    </w:p>
    <w:p>
      <w:pPr>
        <w:ind w:firstLine="425"/>
      </w:pPr>
      <w:r>
        <w:t xml:space="preserve">Расписка к акту № ______ от ______.</w:t>
      </w:r>
    </w:p>
    <w:p>
      <w:pPr>
        <w:ind w:firstLine="425"/>
      </w:pPr>
      <w:r>
        <w:t xml:space="preserve">Я, ______, действуя на основании ______ от имени ______, получил от ______ товарно-материальные ценности по указанному акту на общую сумму ______.</w:t>
      </w:r>
    </w:p>
    <w:p>
      <w:pPr>
        <w:ind w:firstLine="425"/>
      </w:pPr>
      <w:r>
        <w:t xml:space="preserve">Пересчёт произведён в моём присутствии. Все выявленные расхождения внесены в акт и ведомость расхождений; иных претензий по количеству на момент получения не заявляю.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70"/>
        <w:gridCol w:w="1180"/>
        <w:gridCol w:w="2361"/>
        <w:gridCol w:w="1574"/>
        <w:gridCol w:w="1180"/>
        <w:gridCol w:w="1574"/>
      </w:tblGrid>
      <w:tr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Транспортное средство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Водитель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Пломбы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Расписка нужна, когда ценности вывозят частями или перевозчиком: она связывает конкретную машину и конкретный рейс с датой и временем выдачи.</w:t>
      </w:r>
    </w:p>
    <w:p>
      <w:pPr>
        <w:ind w:firstLine="425"/>
      </w:pPr>
      <w:r>
        <w:t xml:space="preserve">Дата ______________ Подпись ________________ ______</w:t>
      </w:r>
    </w:p>
    <w:p>
      <w:pPr>
        <w:pStyle w:val="ClauseHeading"/>
      </w:pPr>
      <w:r>
        <w:rPr>
          <w:b/>
        </w:rPr>
        <w:t xml:space="preserve">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Хранитель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Хранитель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Поклажедатель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Поклажедатель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о возврате товарно-материальных ценностей, сданных на хранение (форма № МХ-3)» с сайта primadoc.ru. Документ, заполненный под вашу ситуацию, собирается в конструкторе: https://primadoc.ru/doc/akt-o-vozvrate-tovarno-materialnyh-cennostey-sdannyh-na-hranenie-forma-mh-3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 возврате товарно-материальных ценностей, сданных на хранение (форма № МХ-3) — пустой бланк</dc:title>
  <dc:creator>Примадок</dc:creator>
  <dcterms:created xsi:type="dcterms:W3CDTF">2026-09-12T08:02:33Z</dcterms:created>
</cp:coreProperties>
</file>