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УТВЕРЖДАЮ</w:t>
      </w:r>
    </w:p>
    <w:p>
      <w:pPr>
        <w:jc w:val="left"/>
      </w:pPr>
      <w:r>
        <w:t xml:space="preserve">генеральный директор ООО «Волжский механический завод»</w:t>
      </w:r>
    </w:p>
    <w:p>
      <w:pPr>
        <w:jc w:val="left"/>
      </w:pPr>
      <w:r>
        <w:t xml:space="preserve">Котельников Денис Аркадьевич ________________</w:t>
      </w:r>
    </w:p>
    <w:p>
      <w:pPr>
        <w:jc w:val="left"/>
      </w:pPr>
      <w:r>
        <w:t xml:space="preserve">«____» ______________ 20____ г.</w:t>
      </w:r>
    </w:p>
    <w:p>
      <w:pPr>
        <w:pStyle w:val="DocTitle"/>
      </w:pPr>
      <w:r>
        <w:t xml:space="preserve">Акт о приёме-сдаче отремонтированных, реконструированных, модернизированных объектов основных средств (форма № ОС-3)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Организация, объект и основание акта</w:t>
      </w:r>
    </w:p>
    <w:p>
      <w:pPr>
        <w:ind w:firstLine="425"/>
      </w:pPr>
      <w:r>
        <w:t xml:space="preserve">1.1. АКТ № 6 от 11.09.2026 о приёме-сдаче отремонтированных, реконструированных, модернизированных объектов основных средств.</w:t>
      </w:r>
    </w:p>
    <w:p>
      <w:pPr>
        <w:ind w:firstLine="425"/>
      </w:pPr>
      <w:r>
        <w:t xml:space="preserve">1.2. Унифицированная форма № ОС-3, форма по ОКУД 0306002, утверждена постановлением Госкомстата России от 21.01.2003 № 7.</w:t>
      </w:r>
    </w:p>
    <w:p>
      <w:pPr>
        <w:ind w:firstLine="425"/>
      </w:pPr>
      <w:r>
        <w:t xml:space="preserve">1.3. Организация: ООО «Волжский механический завод», код по ОКПО 05761234. Адрес: 603022, г. Нижний Новгород, ул. Тимирязева, д. 15. Подразделение: ремонтно-механический цех.</w:t>
      </w:r>
    </w:p>
    <w:p>
      <w:pPr>
        <w:ind w:firstLine="425"/>
      </w:pPr>
      <w:r>
        <w:t xml:space="preserve">1.4. Объект: токарно-винторезный станок 16К20, инвентарный номер 00-000412, заводской номер СТ-90114, код по ОКОФ 330.28.41.2.</w:t>
      </w:r>
    </w:p>
    <w:p>
      <w:pPr>
        <w:ind w:firstLine="425"/>
      </w:pPr>
      <w:r>
        <w:t xml:space="preserve">1.5. Место нахождения объекта: цех № 3, участок механической обработки.</w:t>
      </w:r>
    </w:p>
    <w:p>
      <w:pPr>
        <w:ind w:firstLine="425"/>
      </w:pPr>
      <w:r>
        <w:t xml:space="preserve">1.6. Применять унифицированную форму с 2013 года не обязательно: бланк можно взять как есть, дополнить графами под свои нужды или утвердить собственную форму в учётной политике.</w:t>
      </w:r>
    </w:p>
    <w:p>
      <w:pPr>
        <w:ind w:firstLine="425"/>
      </w:pPr>
      <w:r>
        <w:t xml:space="preserve">1.7. Обязателен лишь набор реквизитов первичного учётного документа (ст. 9 402-ФЗ), а сам факт возврата объекта из ремонта задокументировать нужно в любом случае.</w:t>
      </w:r>
    </w:p>
    <w:p>
      <w:pPr>
        <w:pStyle w:val="ClauseHeading"/>
      </w:pPr>
      <w:r>
        <w:rPr>
          <w:b/>
        </w:rPr>
        <w:t xml:space="preserve">2. Раздел 1. Состояние объекта на момент передачи в работу</w:t>
      </w:r>
    </w:p>
    <w:p>
      <w:pPr>
        <w:ind w:firstLine="425"/>
      </w:pPr>
      <w:r>
        <w:t xml:space="preserve">2.1. На дату передачи в работу объект числился в учёте по следующим показателям.</w:t>
      </w:r>
    </w:p>
    <w:p>
      <w:pPr>
        <w:ind w:firstLine="425"/>
      </w:pPr>
      <w:r>
        <w:t xml:space="preserve">2.2. Первоначальная стоимость: 1450000. Начисленная амортизация: 890000. Остаточная стоимость: 560000.</w:t>
      </w:r>
    </w:p>
    <w:p>
      <w:pPr>
        <w:ind w:firstLine="425"/>
      </w:pPr>
      <w:r>
        <w:t xml:space="preserve">2.3. Техническое состояние и выявленные дефекты: Износ направляющих станины, люфт шпинделя 0,15 мм, изношен привод подач; комплектность полная.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546"/>
        <w:gridCol w:w="1819"/>
        <w:gridCol w:w="1637"/>
        <w:gridCol w:w="1819"/>
        <w:gridCol w:w="1819"/>
      </w:tblGrid>
      <w:tr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 или характеристика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 до работ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по паспорту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Отклонение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2.4. Этот раздел заполняют до начала работ, а не задним числом.</w:t>
      </w:r>
    </w:p>
    <w:p>
      <w:pPr>
        <w:ind w:firstLine="425"/>
      </w:pPr>
      <w:r>
        <w:t xml:space="preserve">2.5. Он решает два практических вопроса: доказывает, что дефект существовал до передачи подрядчику, и служит точкой отсчёта для сравнения характеристик после работ.</w:t>
      </w:r>
    </w:p>
    <w:p>
      <w:pPr>
        <w:ind w:firstLine="425"/>
      </w:pPr>
      <w:r>
        <w:t xml:space="preserve">2.6. Без него спор о том, ремонт это был или модернизация, сводится к словам.</w:t>
      </w:r>
    </w:p>
    <w:p>
      <w:pPr>
        <w:pStyle w:val="ClauseHeading"/>
      </w:pPr>
      <w:r>
        <w:rPr>
          <w:b/>
        </w:rPr>
        <w:t xml:space="preserve">3. Раздел 2. Выполненные работы и сроки</w:t>
      </w:r>
    </w:p>
    <w:p>
      <w:pPr>
        <w:ind w:firstLine="425"/>
      </w:pPr>
      <w:r>
        <w:t xml:space="preserve">3.1. Работы выполнены в период с 10.08.2026 по 09.09.2026. Срок по договору или графику: 30 календарных дней.</w:t>
      </w:r>
    </w:p>
    <w:p>
      <w:pPr>
        <w:ind w:firstLine="425"/>
      </w:pPr>
      <w:r>
        <w:t xml:space="preserve">3.2. Исполнитель: ООО «Станкосервис НН».</w:t>
      </w:r>
    </w:p>
    <w:p>
      <w:pPr>
        <w:ind w:firstLine="425"/>
      </w:pPr>
      <w:r>
        <w:t xml:space="preserve">3.3. Основание: договор подряда № 44/26 от 03.08.2026. Заказчик обязан осмотреть и принять результат работ в порядке и в сроки, предусмотренные договором, и заявить о явных недостатках при приёмке (ст. 720 ГК РФ).Работы выполнены хозяйственным способом силами подразделения ремонтно-механический цех.</w:t>
      </w:r>
    </w:p>
    <w:p>
      <w:pPr>
        <w:ind w:firstLine="425"/>
      </w:pPr>
      <w:r>
        <w:t xml:space="preserve">3.4. Внешнего исполнителя нет, поэтому акт составляют в одном экземпляре и приёмку проводит комиссия организации.</w:t>
      </w:r>
    </w:p>
    <w:p>
      <w:pPr>
        <w:ind w:firstLine="425"/>
      </w:pPr>
      <w:r>
        <w:t xml:space="preserve">3.5. Содержание выполненных работ: Шлифовка направляющих станины, замена шпиндельного узла, установка устройства цифровой индикации, замена электродвигателя главного привода.</w:t>
      </w:r>
    </w:p>
    <w:p>
      <w:pPr>
        <w:ind w:firstLine="425"/>
      </w:pPr>
      <w:r>
        <w:t xml:space="preserve">3.6. Характер работ: текущий ремонт.</w:t>
      </w:r>
    </w:p>
    <w:p>
      <w:pPr>
        <w:ind w:firstLine="425"/>
      </w:pPr>
      <w:r>
        <w:t xml:space="preserve">3.7. Восстановлена работоспособность объекта, технико-экономические показатели не изменились.Характер работ: капитальный ремонт.</w:t>
      </w:r>
    </w:p>
    <w:p>
      <w:pPr>
        <w:ind w:firstLine="425"/>
      </w:pPr>
      <w:r>
        <w:t xml:space="preserve">3.8. Заменены изношенные узлы и детали, назначение и технические характеристики объекта прежние.Характер работ: реконструкция.</w:t>
      </w:r>
    </w:p>
    <w:p>
      <w:pPr>
        <w:ind w:firstLine="425"/>
      </w:pPr>
      <w:r>
        <w:t xml:space="preserve">3.9. Объект переустроен, изменились его параметры и назначение отдельных частей.Характер работ: модернизация или дооборудование.</w:t>
      </w:r>
    </w:p>
    <w:p>
      <w:pPr>
        <w:ind w:firstLine="425"/>
      </w:pPr>
      <w:r>
        <w:t xml:space="preserve">3.10. Объект получил новые качества, повысились технические характеристики.</w:t>
      </w:r>
    </w:p>
    <w:p>
      <w:pPr>
        <w:ind w:firstLine="425"/>
      </w:pPr>
      <w:r>
        <w:t xml:space="preserve">3.11. Работы приняты без замечаний, объект пригоден к дальнейшей эксплуатации.</w:t>
      </w:r>
    </w:p>
    <w:p>
      <w:pPr>
        <w:ind w:firstLine="425"/>
      </w:pPr>
      <w:r>
        <w:t xml:space="preserve">3.12. Отношения сторон при выполнении работ по заданию заказчика регулируются правилами о подряде (ст. 702 ГК РФ).</w:t>
      </w:r>
    </w:p>
    <w:p>
      <w:pPr>
        <w:pStyle w:val="ClauseHeading"/>
      </w:pPr>
      <w:r>
        <w:rPr>
          <w:b/>
        </w:rPr>
        <w:t xml:space="preserve">4. Раздел 3. Затраты на работы</w:t>
      </w:r>
    </w:p>
    <w:p>
      <w:pPr>
        <w:ind w:firstLine="425"/>
      </w:pPr>
      <w:r>
        <w:t xml:space="preserve">4.1. Состав и стоимость выполненных работ.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  <w:r>
              <w:t xml:space="preserve">10</w:t>
            </w: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  <w:r>
              <w:t xml:space="preserve">100 000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Итого стоимость работ: 318000. В том числе затраты собственного подразделения: 0.</w:t>
      </w:r>
    </w:p>
    <w:p>
      <w:pPr>
        <w:ind w:firstLine="425"/>
      </w:pPr>
      <w:r>
        <w:t xml:space="preserve">4.3. Стоимость объекта после завершения работ: 1768000. Срок полезного использования после работ: 84 мес.</w:t>
      </w:r>
    </w:p>
    <w:p>
      <w:pPr>
        <w:ind w:firstLine="425"/>
      </w:pPr>
      <w:r>
        <w:t xml:space="preserve">4.4. Изменившиеся характеристики объекта: Точность обработки повышена до 0,02 мм, добавлена цифровая индикация координат, мощность привода увеличена с 7,5 до 11 кВт.</w:t>
      </w:r>
    </w:p>
    <w:p>
      <w:pPr>
        <w:ind w:firstLine="425"/>
      </w:pPr>
      <w:r>
        <w:t xml:space="preserve">4.5. Сравнение показателей до и после — не формальность, а основание для последующей квалификации расходов.</w:t>
      </w:r>
    </w:p>
    <w:p>
      <w:pPr>
        <w:ind w:firstLine="425"/>
      </w:pPr>
      <w:r>
        <w:t xml:space="preserve">4.6. Пустая графа «изменившиеся характеристики» при дорогих работах вызывает у проверяющего ровно один вопрос: за что заплатили, если объект остался прежним.</w:t>
      </w:r>
    </w:p>
    <w:p>
      <w:pPr>
        <w:pStyle w:val="ClauseHeading"/>
      </w:pPr>
      <w:r>
        <w:rPr>
          <w:b/>
        </w:rPr>
        <w:t xml:space="preserve">5. Подписи и дальнейшие действия</w:t>
      </w:r>
    </w:p>
    <w:p>
      <w:pPr>
        <w:ind w:firstLine="425"/>
      </w:pPr>
      <w:r>
        <w:t xml:space="preserve">5.1. Объект сдал исполнитель работ, объект принял начальник цеха № 3 Логинов Артём Валерьевич.</w:t>
      </w:r>
    </w:p>
    <w:p>
      <w:pPr>
        <w:ind w:firstLine="425"/>
      </w:pPr>
      <w:r>
        <w:t xml:space="preserve">5.2. Председатель приёмочной комиссии: главный инженер Терентьев Павел Игоревич ________________</w:t>
      </w:r>
    </w:p>
    <w:p>
      <w:pPr>
        <w:ind w:firstLine="425"/>
      </w:pPr>
      <w:r>
        <w:t xml:space="preserve">5.3. Главный бухгалтер: Смирнова Наталья Юрьевна 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2821"/>
        <w:gridCol w:w="2116"/>
        <w:gridCol w:w="1881"/>
        <w:gridCol w:w="211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члена комиссии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5.4. Акт составлен в двух экземплярах: первый остаётся у организации-заказчика, второй передаётся подрядчику.______Акт составлен в одном экземпляре и передаётся в бухгалтерию.</w:t>
      </w:r>
    </w:p>
    <w:p>
      <w:pPr>
        <w:ind w:firstLine="425"/>
      </w:pPr>
      <w:r>
        <w:t xml:space="preserve">5.5. После утверждения сведения об объёме работ и об изменении стоимости переносят в инвентарную карточку учёта объекта основных средств, а при реконструкции или модернизации — также в технический паспорт объекта.</w:t>
      </w:r>
    </w:p>
    <w:p>
      <w:pPr>
        <w:ind w:firstLine="425"/>
      </w:pPr>
      <w:r>
        <w:t xml:space="preserve">5.6. Первичный документ оформляют при совершении факта хозяйственной жизни либо непосредственно после его окончания (ст. 9 402-ФЗ).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Ведомость дефектов, выявленных при приёмке</w:t>
      </w:r>
    </w:p>
    <w:p>
      <w:pPr>
        <w:ind w:firstLine="425"/>
      </w:pPr>
      <w:r>
        <w:t xml:space="preserve">Ведомость к акту № 6 от 11.09.2026 по объекту токарно-винторезный станок 16К20, инвентарный номер 00-000412.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1881"/>
        <w:gridCol w:w="2116"/>
        <w:gridCol w:w="2351"/>
        <w:gridCol w:w="2586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Описание дефекта</w:t>
            </w:r>
          </w:p>
        </w:tc>
        <w:tc>
          <w:tcPr>
            <w:tcW w:w="10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Где обнаружен</w:t>
            </w:r>
          </w:p>
        </w:tc>
        <w:tc>
          <w:tcPr>
            <w:tcW w:w="12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устранения</w:t>
            </w:r>
          </w:p>
        </w:tc>
        <w:tc>
          <w:tcPr>
            <w:tcW w:w="13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устранении</w:t>
            </w: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Ведомость заполняют, когда объект принимают с замечаниями. Формулируйте дефект измеримо: не «плохо работает привод», а «биение шпинделя 0,08 мм при допуске 0,02 мм».</w:t>
      </w:r>
    </w:p>
    <w:p>
      <w:pPr>
        <w:ind w:firstLine="425"/>
      </w:pPr>
      <w:r>
        <w:t xml:space="preserve">Срок устранения согласуют с исполнителем и указывают конкретной датой. Устранение подтверждают отдельной отметкой с подписью принимающего — без неё гарантийная переписка превращается в спор о том, был ли дефект вообще.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Опись документов, приложенных к акту</w:t>
      </w:r>
    </w:p>
    <w:p>
      <w:pPr>
        <w:ind w:firstLine="425"/>
      </w:pPr>
      <w:r>
        <w:t xml:space="preserve">Опись приложений к акту № 6 от 11.09.2026.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2203"/>
        <w:gridCol w:w="2479"/>
        <w:gridCol w:w="2479"/>
        <w:gridCol w:w="165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12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составлен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Листов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опись включают дефектную ведомость, смету на работы, договор подряда и акт выполненных работ подрядчика, накладные и требования на материалы, паспорт объекта с внесёнными изменениями, сертификаты на установленные узлы, фотографии до и после работ.</w:t>
      </w:r>
    </w:p>
    <w:p>
      <w:pPr>
        <w:ind w:firstLine="425"/>
      </w:pPr>
      <w:r>
        <w:t xml:space="preserve">Фотофиксация до начала работ — самый дешёвый способ подтвердить исходное состояние объекта, и она же помогает обосновать характер работ перед инспекцией.</w:t>
      </w:r>
    </w:p>
    <w:p>
      <w:pPr>
        <w:pStyle w:val="ClauseHeading"/>
      </w:pPr>
      <w:r>
        <w:rPr>
          <w:b/>
        </w:rPr>
        <w:t xml:space="preserve">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Организация — владелец объекта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Организация — владелец объекта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о приёме-сдаче отремонтированных, реконструированных, модернизированных объектов основных средств (форма № ОС-3)» с сайта primadoc.ru. Документ, заполненный под вашу ситуацию, собирается в конструкторе: https://primadoc.ru/doc/akt-o-prieme-sdache-otremontirovannyh-rekonstruirovannyh-modernizirovannyh-obektov-osnovnyh-sredstv-forma-os-3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 приёме-сдаче отремонтированных, реконструированных, модернизированных объектов основных средств (форма № ОС-3) — образец заполнения</dc:title>
  <dc:creator>Примадок</dc:creator>
  <dcterms:created xsi:type="dcterms:W3CDTF">2026-09-12T08:04:17Z</dcterms:created>
</cp:coreProperties>
</file>