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о приёме-передаче объекта основных средств (кроме зданий и сооружений)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сведения об акте</w:t>
      </w:r>
    </w:p>
    <w:p>
      <w:pPr>
        <w:ind w:firstLine="425"/>
      </w:pPr>
      <w:r>
        <w:t xml:space="preserve">1.1. Акт о приёме-передаче объекта основных средств № 17 от 05.09.2026 составлен комиссией, действующей на основании приказ № 34 от 01.09.2026.</w:t>
      </w:r>
    </w:p>
    <w:p>
      <w:pPr>
        <w:ind w:firstLine="425"/>
      </w:pPr>
      <w:r>
        <w:t xml:space="preserve">1.2. Объект принимает к бухгалтерскому учёту Иванов Иван Иванович.</w:t>
      </w:r>
    </w:p>
    <w:p>
      <w:pPr>
        <w:ind w:firstLine="425"/>
      </w:pPr>
      <w:r>
        <w:t xml:space="preserve">1.3. Форма применяется для любых основных средств, кроме зданий и сооружений: для зданий и сооружений оформляется отдельный акт по форме ОС-1а, а для группы однотипных объектов — акт по форме ОС-1б.</w:t>
      </w:r>
    </w:p>
    <w:p>
      <w:pPr>
        <w:ind w:firstLine="425"/>
      </w:pPr>
      <w:r>
        <w:t xml:space="preserve">1.4. Историческая унифицированная форма акта была утверждена постановлением Госкомстата России от 21.01.2003 № 7. С 2013 года применять её обязательно не нужно: организация вправе взять её за основу, дополнить своими графами или утвердить собственный бланк в учётной политике.</w:t>
      </w:r>
    </w:p>
    <w:p>
      <w:pPr>
        <w:ind w:firstLine="425"/>
      </w:pPr>
      <w:r>
        <w:t xml:space="preserve">1.5. Обязательны только реквизиты первичного учётного документа (ст. 9 402-ФЗ).</w:t>
      </w:r>
    </w:p>
    <w:p>
      <w:pPr>
        <w:ind w:firstLine="425"/>
      </w:pPr>
      <w:r>
        <w:t xml:space="preserve">1.6. Объект, о котором составлен настоящий акт, не является зданием или сооружением — для таких объектов действует форма ОС-1а с иным перечнем сведений о степени строительной готовности.</w:t>
      </w:r>
    </w:p>
    <w:p>
      <w:pPr>
        <w:pStyle w:val="ClauseHeading"/>
      </w:pPr>
      <w:r>
        <w:rPr>
          <w:b/>
        </w:rPr>
        <w:t xml:space="preserve">2. Особенности варианта «ввод в эксплуатацию»</w:t>
      </w:r>
    </w:p>
    <w:p>
      <w:pPr>
        <w:ind w:firstLine="425"/>
      </w:pPr>
      <w:r>
        <w:t xml:space="preserve">2.1. В этом варианте акт оформляет одна сторона — Иванов Иван Иванович: организация вводит собственный объект основных средств в эксплуатацию после приобретения, сооружения или изготовления, и передающей стороны в сделке нет.</w:t>
      </w:r>
    </w:p>
    <w:p>
      <w:pPr>
        <w:ind w:firstLine="425"/>
      </w:pPr>
      <w:r>
        <w:t xml:space="preserve">2.2. Основание получения объекта: договор поставки № 12 от 10.08.2026 с ООО «Стройтех».</w:t>
      </w:r>
    </w:p>
    <w:p>
      <w:pPr>
        <w:ind w:firstLine="425"/>
      </w:pPr>
      <w:r>
        <w:t xml:space="preserve">2.3. Приёмку проводит комиссия, назначенная приказом руководителя Иванов Иван Иванович — приказ № 34 от 01.09.2026, в составе не менее трёх человек, включая представителя технической службы.</w:t>
      </w:r>
    </w:p>
    <w:p>
      <w:pPr>
        <w:ind w:firstLine="425"/>
      </w:pPr>
      <w:r>
        <w:t xml:space="preserve">2.4. Подписи сдающей стороны в акте не предусмотрены, потому что отдельного участника-сдатчика в этой сделке нет.</w:t>
      </w:r>
    </w:p>
    <w:p>
      <w:pPr>
        <w:ind w:firstLine="425"/>
      </w:pPr>
      <w:r>
        <w:t xml:space="preserve">2.5. С даты ввода в эксплуатацию, указанной в акте, начинается начисление амортизации: с 1-го числа месяца, следующего за месяцем принятия объекта к учёту.</w:t>
      </w:r>
    </w:p>
    <w:p>
      <w:pPr>
        <w:pStyle w:val="ClauseHeading"/>
      </w:pPr>
      <w:r>
        <w:rPr>
          <w:b/>
        </w:rPr>
        <w:t xml:space="preserve">3. Особенности варианта «передача другой организации»</w:t>
      </w:r>
    </w:p>
    <w:p>
      <w:pPr>
        <w:ind w:firstLine="425"/>
      </w:pPr>
      <w:r>
        <w:t xml:space="preserve">3.1. В этом варианте акт подтверждает передачу объекта от одной организации к другой: Петров Пётр Петрович передаёт объект, Иванов Иван Иванович принимает его к учёту.</w:t>
      </w:r>
    </w:p>
    <w:p>
      <w:pPr>
        <w:ind w:firstLine="425"/>
      </w:pPr>
      <w:r>
        <w:t xml:space="preserve">3.2. Основание передачи: договор купли-продажи № 5 от 01.09.2026 — договор купли-продажи, договор дарения либо решение о внесении объекта в качестве вклада в уставный (складочный) капитал.</w:t>
      </w:r>
    </w:p>
    <w:p>
      <w:pPr>
        <w:ind w:firstLine="425"/>
      </w:pPr>
      <w:r>
        <w:t xml:space="preserve">3.3. Право собственности на объект переходит по основаниям, предусмотренным гражданским законодательством (ст. 218 ГК РФ).</w:t>
      </w:r>
    </w:p>
    <w:p>
      <w:pPr>
        <w:ind w:firstLine="425"/>
      </w:pPr>
      <w:r>
        <w:t xml:space="preserve">3.4. Акт подписывают представители обеих сторон: до подписания сдающая сторона отражает выбытие объекта, а получающая — принятие к учёту по данным, зафиксированным в акте: первоначальная стоимость у сдатчика, накопленная амортизация, остаточная стоимость.</w:t>
      </w:r>
    </w:p>
    <w:p>
      <w:pPr>
        <w:ind w:firstLine="425"/>
      </w:pPr>
      <w:r>
        <w:t xml:space="preserve">3.5. Форма акта охватывает любое движимое имущество и часть недвижимого, кроме зданий и сооружений.</w:t>
      </w:r>
    </w:p>
    <w:p>
      <w:pPr>
        <w:ind w:firstLine="425"/>
      </w:pPr>
      <w:r>
        <w:t xml:space="preserve">3.6. Если передаваемый объект относится к недвижимому имуществу, помните: сам акт переход права собственности не регистрирует — переход подлежит государственной регистрации, и до её завершения право у получающей стороны не возникает (ст. 130 ГК РФ).</w:t>
      </w:r>
    </w:p>
    <w:p>
      <w:pPr>
        <w:pStyle w:val="ClauseHeading"/>
      </w:pPr>
      <w:r>
        <w:rPr>
          <w:b/>
        </w:rPr>
        <w:t xml:space="preserve">4. Идентификация и стоимость объекта</w:t>
      </w:r>
    </w:p>
    <w:p>
      <w:pPr>
        <w:ind w:firstLine="425"/>
      </w:pPr>
      <w:r>
        <w:t xml:space="preserve">4.1. Наименование объекта: Токарно-винторезный станок 16К20, группа основных средств — машины и производственное оборудование.</w:t>
      </w:r>
    </w:p>
    <w:p>
      <w:pPr>
        <w:ind w:firstLine="425"/>
      </w:pPr>
      <w:r>
        <w:t xml:space="preserve">4.2. Марка, модель, тип: 16К20. Организация-изготовитель: АО «Рязанский станкозавод».</w:t>
      </w:r>
    </w:p>
    <w:p>
      <w:pPr>
        <w:ind w:firstLine="425"/>
      </w:pPr>
      <w:r>
        <w:t xml:space="preserve">4.3. Заводской номер: 184509. Инвентарный номер, присвоенный объекту: 00000512. Дата выпуска (постройки): 12.03.2026.</w:t>
      </w:r>
    </w:p>
    <w:p>
      <w:pPr>
        <w:ind w:firstLine="425"/>
      </w:pPr>
      <w:r>
        <w:t xml:space="preserve">4.4. Дата ввода в эксплуатацию: 05.09.2026. Срок полезного использования установлен продолжительностью 84 месяцев.</w:t>
      </w:r>
    </w:p>
    <w:p>
      <w:pPr>
        <w:ind w:firstLine="425"/>
      </w:pPr>
      <w:r>
        <w:t xml:space="preserve">4.5. Первоначальная (восстановительная) стоимость объекта на дату составления акта: 540000. Сумма начисленной амортизации на эту дату: 0. Остаточная стоимость: 540000.</w:t>
      </w:r>
    </w:p>
    <w:p>
      <w:pPr>
        <w:ind w:firstLine="425"/>
      </w:pPr>
      <w:r>
        <w:t xml:space="preserve">4.6. Присвоенный инвентарный номер сохраняется за объектом на весь период его нахождения в организации, включая периоды консервации и восстановления, и не используется повторно после списания объекта (ст. 9 402-ФЗ).</w:t>
      </w:r>
    </w:p>
    <w:p>
      <w:pPr>
        <w:pStyle w:val="ClauseHeading"/>
      </w:pPr>
      <w:r>
        <w:rPr>
          <w:b/>
        </w:rPr>
        <w:t xml:space="preserve">5. Характеристика объекта и комплектация</w:t>
      </w:r>
    </w:p>
    <w:p>
      <w:pPr>
        <w:ind w:firstLine="425"/>
      </w:pPr>
      <w:r>
        <w:t xml:space="preserve">5.1. Краткая характеристика объекта: станок в собранном виде, комплектация соответствует паспорту изготовителя, поставлен без принадлежностей, требующих отдельного учёта, внешних повреждений и дефектов не обнаружено.</w:t>
      </w:r>
    </w:p>
    <w:p>
      <w:pPr>
        <w:ind w:firstLine="425"/>
      </w:pPr>
      <w:r>
        <w:t xml:space="preserve">5.2. Соответствие техническим условиям: соответствует техническим условиям, указанным в паспорте изготовителя № ПС.184509.</w:t>
      </w:r>
    </w:p>
    <w:p>
      <w:pPr>
        <w:ind w:firstLine="425"/>
      </w:pPr>
      <w:r>
        <w:t xml:space="preserve">5.3. Объект требует монтажа перед вводом в эксплуатацию — подробности приведены в отдельном пункте ниже.______Объект монтажа не требует и передаётся в собранном, готовом к эксплуатации виде.</w:t>
      </w:r>
    </w:p>
    <w:p>
      <w:pPr>
        <w:ind w:firstLine="425"/>
      </w:pPr>
      <w:r>
        <w:t xml:space="preserve">5.4. Полный перечень технической документации и принадлежностей, переданных вместе с объектом, приведён в приложении к акту.</w:t>
      </w:r>
    </w:p>
    <w:p>
      <w:pPr>
        <w:pStyle w:val="ClauseHeading"/>
      </w:pPr>
      <w:r>
        <w:rPr>
          <w:b/>
        </w:rPr>
        <w:t xml:space="preserve">6. Заключение комиссии и подписи</w:t>
      </w:r>
    </w:p>
    <w:p>
      <w:pPr>
        <w:ind w:firstLine="425"/>
      </w:pPr>
      <w:r>
        <w:t xml:space="preserve">6.1. Комиссия, действующая на основании приказ № 34 от 01.09.2026, осмотрела объект и не установила дефектов, препятствующих эксплуатации по назначению, за исключением необходимости монтажа, указанной выше.</w:t>
      </w:r>
    </w:p>
    <w:p>
      <w:pPr>
        <w:ind w:firstLine="425"/>
      </w:pPr>
      <w:r>
        <w:t xml:space="preserve">6.2. Объект признан соответствующим комплектации и техническим условиям, указанным в настоящем акте.</w:t>
      </w:r>
    </w:p>
    <w:p>
      <w:pPr>
        <w:ind w:firstLine="425"/>
      </w:pPr>
      <w:r>
        <w:t xml:space="preserve">6.3. Председатель комиссии: главный инженер Воронцов Дмитрий Александрович.</w:t>
      </w:r>
    </w:p>
    <w:p>
      <w:pPr>
        <w:ind w:firstLine="425"/>
      </w:pPr>
      <w:r>
        <w:t xml:space="preserve">6.4. Запись о принятии объекта к бухгалтерскому учёту сделал(а): Северова Елена Игоревна.</w:t>
      </w:r>
    </w:p>
    <w:p>
      <w:pPr>
        <w:ind w:firstLine="425"/>
      </w:pPr>
      <w:r>
        <w:t xml:space="preserve">6.5. Акт утверждает генеральный директор Иванов Иван Иванович — Мартынов Олег Викторович.</w:t>
      </w:r>
    </w:p>
    <w:p>
      <w:pPr>
        <w:ind w:firstLine="425"/>
      </w:pPr>
      <w:r>
        <w:t xml:space="preserve">6.6. Подписи членов комиссии и представителей сторон: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374"/>
        <w:gridCol w:w="2892"/>
        <w:gridCol w:w="1446"/>
        <w:gridCol w:w="1928"/>
      </w:tblGrid>
      <w:tr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Организация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7. Отметка бухгалтерии о принятии к учёту</w:t>
      </w:r>
    </w:p>
    <w:p>
      <w:pPr>
        <w:ind w:firstLine="425"/>
      </w:pPr>
      <w:r>
        <w:t xml:space="preserve">7.1. Бухгалтерия Иванов Иван Иванович на основании подписанного акта открывает на объект инвентарную карточку и присваивает ему инвентарный номер 00000512, если он не был присвоен ранее.</w:t>
      </w:r>
    </w:p>
    <w:p>
      <w:pPr>
        <w:ind w:firstLine="425"/>
      </w:pPr>
      <w:r>
        <w:t xml:space="preserve">7.2. Дата открытия инвентарной карточки совпадает с датой ввода в эксплуатацию, указанной в акте.</w:t>
      </w:r>
    </w:p>
    <w:p>
      <w:pPr>
        <w:ind w:firstLine="425"/>
      </w:pPr>
      <w:r>
        <w:t xml:space="preserve">7.3. Со следующего месяца по объекту начинают начислять амортизацию исходя из первоначальной стоимости 540000 и срока полезного использования 84 месяцев.</w:t>
      </w:r>
    </w:p>
    <w:p>
      <w:pPr>
        <w:pStyle w:val="ClauseHeading"/>
      </w:pPr>
      <w:r>
        <w:rPr>
          <w:b/>
        </w:rPr>
        <w:t xml:space="preserve">8. Отметка о выбытии у передающей стороны</w:t>
      </w:r>
    </w:p>
    <w:p>
      <w:pPr>
        <w:ind w:firstLine="425"/>
      </w:pPr>
      <w:r>
        <w:t xml:space="preserve">8.1. У передающей стороны Петров Пётр Петрович одновременно с подписанием акта объект списывается с баланса: в бухгалтерском учёте отражается выбытие по первоначальной стоимости 540000 и списание накопленной амортизации 0.</w:t>
      </w:r>
    </w:p>
    <w:p>
      <w:pPr>
        <w:ind w:firstLine="425"/>
      </w:pPr>
      <w:r>
        <w:t xml:space="preserve">8.2. Данные об объекте, зафиксированные в акте, переносятся в инвентарную карточку получающей организации либо прикладываются к акту в виде выписки из инвентарной карточки сдающей стороны — это ускоряет постановку объекта на баланс у получателя.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технической документации и принадлежностей</w:t>
      </w:r>
    </w:p>
    <w:p>
      <w:pPr>
        <w:ind w:firstLine="425"/>
      </w:pPr>
      <w:r>
        <w:t xml:space="preserve">Опись документов и принадлежностей, переданных вместе с объектом основных средств.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5060"/>
        <w:gridCol w:w="385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принадлежности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экземпляров (листов)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подписывает лицо, фактически передавшее документы, и лицо, их принявшее; при варианте «передача другой организации» опись подписывают представители обеих сторон. Отсутствие в описи паспорта или руководства по эксплуатации не мешает вводу объекта в эксплуатацию, но затрудняет последующее обслуживание и гарантийный ремонт.</w:t>
      </w:r>
    </w:p>
    <w:p>
      <w:pPr>
        <w:pStyle w:val="ClauseHeading"/>
      </w:pPr>
      <w:r>
        <w:rPr>
          <w:b/>
        </w:rPr>
        <w:t xml:space="preserve">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Организация-получатель (принимает объект к учёту)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Организация-получатель (принимает объект к учёту)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Организация-сдатчик (передаёт объект)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Организация-сдатчик (передаёт объект)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о приёме-передаче объекта основных средств (кроме зданий и сооружений)» с сайта primadoc.ru. Документ, заполненный под вашу ситуацию, собирается в конструкторе: https://primadoc.ru/doc/akt-o-prieme-peredache-obekta-osnovnyh-sredstv-krome-zdaniy-i-sooruzheniy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приёме-передаче объекта основных средств (кроме зданий и сооружений) — образец заполнения</dc:title>
  <dc:creator>Примадок</dc:creator>
  <dcterms:created xsi:type="dcterms:W3CDTF">2026-09-12T04:02:08Z</dcterms:created>
</cp:coreProperties>
</file>