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инвентаризации расчётов с покупателями, поставщиками и прочими дебиторами и кредиторами (форма ИНВ-17)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Акт и его реквизиты</w:t>
      </w:r>
    </w:p>
    <w:p>
      <w:pPr>
        <w:ind w:firstLine="425"/>
      </w:pPr>
      <w:r>
        <w:t xml:space="preserve">1.1. Акт инвентаризации расчётов составлен по организации ______ (ИНН ______), код по ОКПО ______.</w:t>
      </w:r>
    </w:p>
    <w:p>
      <w:pPr>
        <w:ind w:firstLine="425"/>
      </w:pPr>
      <w:r>
        <w:t xml:space="preserve">1.2. Инвентаризация проводится по состоянию на ______.</w:t>
      </w:r>
    </w:p>
    <w:p>
      <w:pPr>
        <w:ind w:firstLine="425"/>
      </w:pPr>
      <w:r>
        <w:t xml:space="preserve">1.3. Инвентаризации подлежит задолженность покупателей и заказчиков за отгруженные товары, работы и услуги.</w:t>
      </w:r>
    </w:p>
    <w:p>
      <w:pPr>
        <w:ind w:firstLine="425"/>
      </w:pPr>
      <w:r>
        <w:t xml:space="preserve">1.4. Инвентаризации подлежит задолженность поставщиков и подрядчиков по выданным им авансам.</w:t>
      </w:r>
    </w:p>
    <w:p>
      <w:pPr>
        <w:ind w:firstLine="425"/>
      </w:pPr>
      <w:r>
        <w:t xml:space="preserve">1.5. Инвентаризации подлежит задолженность перед поставщиками и подрядчиками за полученные, но не оплаченные ценности и работы.</w:t>
      </w:r>
    </w:p>
    <w:p>
      <w:pPr>
        <w:ind w:firstLine="425"/>
      </w:pPr>
      <w:r>
        <w:t xml:space="preserve">1.6. По решению руководителя в проверку также включается задолженность перед прочими дебиторами и кредиторами, названными в приказе.</w:t>
      </w:r>
    </w:p>
    <w:p>
      <w:pPr>
        <w:ind w:firstLine="425"/>
      </w:pPr>
      <w:r>
        <w:t xml:space="preserve">1.7. Обязанность и общий порядок инвентаризации активов и обязательств организации установлены законом о бухгалтерском учёте (ст. 11 402-ФЗ) — без такой проверки данные бухгалтерского баланса о состоянии расчётов не считаются подтверждёнными.</w:t>
      </w:r>
    </w:p>
    <w:p>
      <w:pPr>
        <w:ind w:firstLine="425"/>
      </w:pPr>
      <w:r>
        <w:t xml:space="preserve">1.8. Акт составлен по перечню реквизитов унифицированной формы № ИНВ-17, утверждённой постановлением Госкомстата России от 18.08.1998 № 88 (тем же постановлением утверждена и форма ИНВ-3 по товарно-материальным ценностям).</w:t>
      </w:r>
    </w:p>
    <w:p>
      <w:pPr>
        <w:ind w:firstLine="425"/>
      </w:pPr>
      <w:r>
        <w:t xml:space="preserve">1.9. Форма необязательна с 2013 года: организация вправе применять её как образец или разработать собственный бланк, закрепив его в учётной политике.</w:t>
      </w:r>
    </w:p>
    <w:p>
      <w:pPr>
        <w:pStyle w:val="ClauseHeading"/>
      </w:pPr>
      <w:r>
        <w:rPr>
          <w:b/>
        </w:rPr>
        <w:t xml:space="preserve">2. Приказ и состав комиссии</w:t>
      </w:r>
    </w:p>
    <w:p>
      <w:pPr>
        <w:ind w:firstLine="425"/>
      </w:pPr>
      <w:r>
        <w:t xml:space="preserve">2.1. Инвентаризация расчётов назначена приказом (распоряжением) № ______ от ______.</w:t>
      </w:r>
    </w:p>
    <w:p>
      <w:pPr>
        <w:ind w:firstLine="425"/>
      </w:pPr>
      <w:r>
        <w:t xml:space="preserve">2.2. Председатель комиссии: ______ ______.</w:t>
      </w:r>
    </w:p>
    <w:p>
      <w:pPr>
        <w:ind w:firstLine="425"/>
      </w:pPr>
      <w:r>
        <w:t xml:space="preserve">2.3. В состав комиссии, кроме председателя, входят: ______. ______ ______;</w:t>
      </w:r>
    </w:p>
    <w:p>
      <w:pPr>
        <w:ind w:firstLine="425"/>
      </w:pPr>
      <w:r>
        <w:t xml:space="preserve">2.4. Комиссия работает в полном составе: акт, подписанный не всеми членами комиссии, легко оспорить при налоговой проверке или в суде как результат ненадлежаще оформленной инвентаризации.</w:t>
      </w:r>
    </w:p>
    <w:p>
      <w:pPr>
        <w:pStyle w:val="ClauseHeading"/>
      </w:pPr>
      <w:r>
        <w:rPr>
          <w:b/>
        </w:rPr>
        <w:t xml:space="preserve">3. Дебиторская задолженность</w:t>
      </w:r>
    </w:p>
    <w:p>
      <w:pPr>
        <w:ind w:firstLine="425"/>
      </w:pPr>
      <w:r>
        <w:t xml:space="preserve">3.1. По каждому дебитору комиссия сверяет остаток по данным бухгалтерского учёта с ответом контрагента.</w:t>
      </w:r>
    </w:p>
    <w:p>
      <w:pPr>
        <w:ind w:firstLine="425"/>
      </w:pPr>
      <w:r>
        <w:t xml:space="preserve">3.2. Если контрагент подписал акт сверки без разногласий, сумма считается подтверждённой; если акт не получен, подписан с разногласиями или контрагент не ответил на запрос — сумма остаётся не подтверждённой.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580"/>
        <w:gridCol w:w="632"/>
        <w:gridCol w:w="790"/>
        <w:gridCol w:w="2054"/>
        <w:gridCol w:w="1896"/>
        <w:gridCol w:w="221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Подтверждено актом сверки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 подтверждено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Истёк срок исковой давности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3.3. Отдельная графа «Истёк срок исковой давности» — это не вся задолженность контрагента, а только та её часть, требование по которой уже нельзя принудительно взыскать через суд.</w:t>
      </w:r>
    </w:p>
    <w:p>
      <w:pPr>
        <w:ind w:firstLine="425"/>
      </w:pPr>
      <w:r>
        <w:t xml:space="preserve">3.4. Расшифровка по каждому контрагенту, с датой возникновения долга и документом-основанием, приведена в приложении к акту.</w:t>
      </w:r>
    </w:p>
    <w:p>
      <w:pPr>
        <w:pStyle w:val="ClauseHeading"/>
      </w:pPr>
      <w:r>
        <w:rPr>
          <w:b/>
        </w:rPr>
        <w:t xml:space="preserve">4. Кредиторская задолженность</w:t>
      </w:r>
    </w:p>
    <w:p>
      <w:pPr>
        <w:ind w:firstLine="425"/>
      </w:pPr>
      <w:r>
        <w:t xml:space="preserve">4.1. Аналогично проверяется задолженность самой организации перед контрагентами: поставщиками, подрядчиками, покупателями по полученным от них авансам и прочими кредиторами.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580"/>
        <w:gridCol w:w="632"/>
        <w:gridCol w:w="790"/>
        <w:gridCol w:w="2054"/>
        <w:gridCol w:w="1896"/>
        <w:gridCol w:w="221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Подтверждено актом сверки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 подтверждено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Истёк срок исковой давности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Если кредитор не отвечает на запрос об акте сверки, остаток в учёте всё равно остаётся действительным, пока не истечёт срок исковой давности по требованию — молчание кредитора само по себе долг не аннулирует и не освобождает от его отражения в учёте.</w:t>
      </w:r>
    </w:p>
    <w:p>
      <w:pPr>
        <w:pStyle w:val="ClauseHeading"/>
      </w:pPr>
      <w:r>
        <w:rPr>
          <w:b/>
        </w:rPr>
        <w:t xml:space="preserve">5. Срок исковой давности и акты сверки</w:t>
      </w:r>
    </w:p>
    <w:p>
      <w:pPr>
        <w:ind w:firstLine="425"/>
      </w:pPr>
      <w:r>
        <w:t xml:space="preserve">5.1. Общий срок исковой давности по требованиям между организациями и предпринимателями составляет три года (ст. 196 ГК РФ) и по общему правилу начинает течь со дня, когда сторона узнала или должна была узнать о нарушении своего права.</w:t>
      </w:r>
    </w:p>
    <w:p>
      <w:pPr>
        <w:ind w:firstLine="425"/>
      </w:pPr>
      <w:r>
        <w:t xml:space="preserve">5.2. Подписание акта сверки прерывает течение срока исковой давности (ст. 203 ГК РФ): после перерыва течение срока начинается заново, а время, истёкшее до подписания акта, в новый срок не засчитывается.</w:t>
      </w:r>
    </w:p>
    <w:p>
      <w:pPr>
        <w:ind w:firstLine="425"/>
      </w:pPr>
      <w:r>
        <w:t xml:space="preserve">5.3. Поэтому дата последнего подписанного обеими сторонами акта сверки, а не дата возникновения долга, определяет, истёк ли срок фактически.</w:t>
      </w:r>
    </w:p>
    <w:p>
      <w:pPr>
        <w:ind w:firstLine="425"/>
      </w:pPr>
      <w:r>
        <w:t xml:space="preserve">5.4. По контрагентам, не подтвердившим остаток, комиссия рекомендует направить акт сверки повторно или предъявить претензию до истечения оставшегося срока — иначе взыскать долг через суд станет невозможно.</w:t>
      </w:r>
    </w:p>
    <w:p>
      <w:pPr>
        <w:pStyle w:val="ClauseHeading"/>
      </w:pPr>
      <w:r>
        <w:rPr>
          <w:b/>
        </w:rPr>
        <w:t xml:space="preserve">6. Выводы и предложения комиссии</w:t>
      </w:r>
    </w:p>
    <w:p>
      <w:pPr>
        <w:ind w:firstLine="425"/>
      </w:pPr>
      <w:r>
        <w:t xml:space="preserve">6.1. По результатам инвентаризации комиссия делает вывод о состоянии расчётов и формулирует предложения руководителю: ______.</w:t>
      </w:r>
    </w:p>
    <w:p>
      <w:pPr>
        <w:ind w:firstLine="425"/>
      </w:pPr>
      <w:r>
        <w:t xml:space="preserve">6.2. Возможные решения по каждому контрагенту — списать безнадёжную дебиторскую задолженность, направить претензию должнику, инициировать повторную сверку с контрагентом, не подтвердившим остаток, либо оставить задолженность без изменений до истечения срока давности.</w:t>
      </w:r>
    </w:p>
    <w:p>
      <w:pPr>
        <w:ind w:firstLine="425"/>
      </w:pPr>
      <w:r>
        <w:t xml:space="preserve">6.3. Выбор фиксируется руководителем отдельным приказом на основании этого акта: сам акт решения не принимает, а только фиксирует установленные комиссией факты.</w:t>
      </w:r>
    </w:p>
    <w:p>
      <w:pPr>
        <w:pStyle w:val="ClauseHeading"/>
      </w:pPr>
      <w:r>
        <w:rPr>
          <w:b/>
        </w:rPr>
        <w:t xml:space="preserve">7. Подписи комиссии</w:t>
      </w:r>
    </w:p>
    <w:p>
      <w:pPr>
        <w:ind w:firstLine="425"/>
      </w:pPr>
      <w:r>
        <w:t xml:space="preserve">7.1. Акт составлен в двух экземплярах, подписывается председателем и всеми членами комиссии и утверждается руководителем организации.</w:t>
      </w:r>
    </w:p>
    <w:p>
      <w:pPr>
        <w:ind w:firstLine="425"/>
      </w:pPr>
      <w:r>
        <w:t xml:space="preserve">7.2. Один экземпляр остаётся в бухгалтерии, второй передаётся в подразделение, ответственное за учёт расчётов с контрагентами.</w:t>
      </w:r>
    </w:p>
    <w:p>
      <w:pPr>
        <w:ind w:firstLine="425"/>
      </w:pPr>
      <w:r>
        <w:t xml:space="preserve">7.3. Незаполненные строки в таблицах дебиторской и кредиторской задолженности прочёркиваются, чтобы исключить дописывание позиций после подписания акта.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Справка-расшифровка задолженности по контрагентам</w:t>
      </w:r>
    </w:p>
    <w:p>
      <w:pPr>
        <w:ind w:firstLine="425"/>
      </w:pPr>
      <w:r>
        <w:t xml:space="preserve">Расшифровка составляется по каждому контрагенту из таблиц дебиторской и кредиторской задолженности отдельно и прикладывается к акту как обязательное приложение.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51"/>
        <w:gridCol w:w="1231"/>
        <w:gridCol w:w="2666"/>
        <w:gridCol w:w="3691"/>
      </w:tblGrid>
      <w:tr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возникновения</w:t>
            </w:r>
          </w:p>
        </w:tc>
        <w:tc>
          <w:tcPr>
            <w:tcW w:w="1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«Документ-основание» заполняется ссылкой на договор, накладную, акт выполненных работ или счёт, из которого возник долг: без этой ссылки при списании безнадёжной задолженности налоговый орган вправе отказать в признании расхода.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инвентаризации расчётов с покупателями, поставщиками и прочими дебиторами и кредиторами (форма ИНВ-17)» с сайта primadoc.ru. Документ, заполненный под вашу ситуацию, собирается в конструкторе: https://primadoc.ru/doc/akt-inventarizacii-raschetov-s-pokupatelyami-postavschikami-i-prochimi-debitorami-i-kreditorami-forma-inv-17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инвентаризации расчётов с покупателями, поставщиками и прочими дебиторами и кредиторами (форма ИНВ-17) — пустой бланк</dc:title>
  <dc:creator>Примадок</dc:creator>
  <dcterms:created xsi:type="dcterms:W3CDTF">2026-09-11T12:18:14Z</dcterms:created>
</cp:coreProperties>
</file>